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06A" w:rsidRPr="00AF2262" w:rsidRDefault="0006706A" w:rsidP="0006706A">
      <w:pPr>
        <w:jc w:val="right"/>
        <w:outlineLvl w:val="0"/>
        <w:rPr>
          <w:rFonts w:ascii="Tahoma" w:hAnsi="Tahoma"/>
          <w:sz w:val="22"/>
          <w:szCs w:val="22"/>
        </w:rPr>
      </w:pPr>
      <w:r w:rsidRPr="00AF2262">
        <w:rPr>
          <w:rFonts w:ascii="Tahoma" w:hAnsi="Tahoma"/>
          <w:sz w:val="22"/>
          <w:szCs w:val="22"/>
        </w:rPr>
        <w:t xml:space="preserve">Poznań,  </w:t>
      </w:r>
      <w:r>
        <w:rPr>
          <w:rFonts w:ascii="Tahoma" w:hAnsi="Tahoma"/>
          <w:sz w:val="22"/>
          <w:szCs w:val="22"/>
        </w:rPr>
        <w:t>dnia 04.03.2010</w:t>
      </w:r>
      <w:r w:rsidRPr="00AF2262">
        <w:rPr>
          <w:rFonts w:ascii="Tahoma" w:hAnsi="Tahoma"/>
          <w:sz w:val="22"/>
          <w:szCs w:val="22"/>
        </w:rPr>
        <w:t xml:space="preserve"> r.</w:t>
      </w:r>
    </w:p>
    <w:p w:rsidR="0006706A" w:rsidRPr="00AF2262" w:rsidRDefault="0006706A" w:rsidP="0006706A">
      <w:pPr>
        <w:jc w:val="right"/>
        <w:rPr>
          <w:rFonts w:ascii="Tahoma" w:hAnsi="Tahoma"/>
          <w:sz w:val="22"/>
          <w:szCs w:val="22"/>
        </w:rPr>
      </w:pPr>
    </w:p>
    <w:p w:rsidR="0006706A" w:rsidRPr="00AF2262" w:rsidRDefault="0006706A" w:rsidP="0006706A">
      <w:pPr>
        <w:rPr>
          <w:rFonts w:ascii="Tahoma" w:hAnsi="Tahoma"/>
          <w:sz w:val="20"/>
        </w:rPr>
      </w:pPr>
    </w:p>
    <w:tbl>
      <w:tblPr>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860"/>
      </w:tblGrid>
      <w:tr w:rsidR="0006706A" w:rsidRPr="00AF2262" w:rsidTr="00EC7B94">
        <w:trPr>
          <w:trHeight w:val="851"/>
        </w:trPr>
        <w:tc>
          <w:tcPr>
            <w:tcW w:w="1108" w:type="dxa"/>
          </w:tcPr>
          <w:p w:rsidR="0006706A" w:rsidRPr="00AF2262" w:rsidRDefault="0006706A" w:rsidP="001E0E5F">
            <w:pPr>
              <w:rPr>
                <w:rFonts w:ascii="Tahoma" w:hAnsi="Tahoma" w:cs="Tahoma"/>
                <w:sz w:val="20"/>
              </w:rPr>
            </w:pPr>
            <w:r w:rsidRPr="00AF2262">
              <w:rPr>
                <w:rFonts w:ascii="Tahoma" w:hAnsi="Tahoma" w:cs="Tahoma"/>
                <w:sz w:val="20"/>
              </w:rPr>
              <w:t>Adresaci:</w:t>
            </w:r>
          </w:p>
        </w:tc>
        <w:tc>
          <w:tcPr>
            <w:tcW w:w="8860" w:type="dxa"/>
          </w:tcPr>
          <w:p w:rsidR="0006706A" w:rsidRPr="00AF2262" w:rsidRDefault="0006706A" w:rsidP="001E0E5F">
            <w:pPr>
              <w:ind w:left="567" w:hanging="567"/>
              <w:rPr>
                <w:rFonts w:ascii="Tahoma" w:hAnsi="Tahoma"/>
                <w:noProof/>
                <w:sz w:val="20"/>
              </w:rPr>
            </w:pPr>
            <w:r w:rsidRPr="00AF2262">
              <w:rPr>
                <w:rFonts w:ascii="Tahoma" w:hAnsi="Tahoma"/>
                <w:noProof/>
                <w:sz w:val="20"/>
              </w:rPr>
              <w:t>Kancelaria Publiczna KNF</w:t>
            </w:r>
          </w:p>
          <w:p w:rsidR="0006706A" w:rsidRPr="00AF2262" w:rsidRDefault="0006706A" w:rsidP="001E0E5F">
            <w:pPr>
              <w:ind w:left="567" w:hanging="567"/>
              <w:rPr>
                <w:rFonts w:ascii="Tahoma" w:hAnsi="Tahoma"/>
                <w:noProof/>
                <w:sz w:val="20"/>
              </w:rPr>
            </w:pPr>
            <w:r w:rsidRPr="00AF2262">
              <w:rPr>
                <w:rFonts w:ascii="Tahoma" w:hAnsi="Tahoma"/>
                <w:noProof/>
                <w:sz w:val="20"/>
              </w:rPr>
              <w:t>Dział Emitentów GPW</w:t>
            </w:r>
          </w:p>
          <w:p w:rsidR="0006706A" w:rsidRPr="00AF2262" w:rsidRDefault="0006706A" w:rsidP="001E0E5F">
            <w:pPr>
              <w:ind w:left="567" w:hanging="567"/>
              <w:rPr>
                <w:rFonts w:ascii="Tahoma" w:hAnsi="Tahoma"/>
                <w:noProof/>
                <w:sz w:val="20"/>
              </w:rPr>
            </w:pPr>
            <w:r w:rsidRPr="00AF2262">
              <w:rPr>
                <w:rFonts w:ascii="Tahoma" w:hAnsi="Tahoma"/>
                <w:noProof/>
                <w:sz w:val="20"/>
              </w:rPr>
              <w:t>Dział Emitencki i Notowań PAP</w:t>
            </w:r>
          </w:p>
          <w:p w:rsidR="0006706A" w:rsidRPr="00AF2262" w:rsidRDefault="0006706A" w:rsidP="001E0E5F">
            <w:pPr>
              <w:rPr>
                <w:rFonts w:ascii="Tahoma" w:hAnsi="Tahoma" w:cs="Tahoma"/>
                <w:sz w:val="20"/>
              </w:rPr>
            </w:pPr>
          </w:p>
        </w:tc>
      </w:tr>
      <w:tr w:rsidR="0006706A" w:rsidRPr="00AF2262" w:rsidTr="00EC7B94">
        <w:trPr>
          <w:trHeight w:val="619"/>
        </w:trPr>
        <w:tc>
          <w:tcPr>
            <w:tcW w:w="1108" w:type="dxa"/>
            <w:tcBorders>
              <w:top w:val="single" w:sz="4" w:space="0" w:color="auto"/>
              <w:bottom w:val="single" w:sz="4" w:space="0" w:color="auto"/>
            </w:tcBorders>
          </w:tcPr>
          <w:p w:rsidR="0006706A" w:rsidRPr="00AF2262" w:rsidRDefault="0006706A" w:rsidP="001E0E5F">
            <w:pPr>
              <w:rPr>
                <w:rFonts w:ascii="Tahoma" w:hAnsi="Tahoma" w:cs="Tahoma"/>
                <w:sz w:val="20"/>
              </w:rPr>
            </w:pPr>
            <w:r w:rsidRPr="00AF2262">
              <w:rPr>
                <w:rFonts w:ascii="Tahoma" w:hAnsi="Tahoma" w:cs="Tahoma"/>
                <w:sz w:val="20"/>
              </w:rPr>
              <w:t>Tytuł:</w:t>
            </w:r>
          </w:p>
        </w:tc>
        <w:tc>
          <w:tcPr>
            <w:tcW w:w="8860" w:type="dxa"/>
            <w:tcBorders>
              <w:top w:val="single" w:sz="4" w:space="0" w:color="auto"/>
              <w:bottom w:val="single" w:sz="4" w:space="0" w:color="auto"/>
            </w:tcBorders>
          </w:tcPr>
          <w:p w:rsidR="0006706A" w:rsidRPr="00AF2262" w:rsidRDefault="0006706A" w:rsidP="001E0E5F">
            <w:pPr>
              <w:rPr>
                <w:rFonts w:ascii="Tahoma" w:hAnsi="Tahoma" w:cs="Tahoma"/>
                <w:b/>
                <w:sz w:val="20"/>
              </w:rPr>
            </w:pPr>
            <w:r>
              <w:rPr>
                <w:rFonts w:ascii="Tahoma" w:hAnsi="Tahoma" w:cs="Tahoma"/>
                <w:b/>
                <w:sz w:val="20"/>
              </w:rPr>
              <w:t>Zwiększenie przez akcjonariusza udziału w ogólnej liczbie głosów na WZ</w:t>
            </w:r>
          </w:p>
        </w:tc>
      </w:tr>
      <w:tr w:rsidR="0006706A" w:rsidRPr="00AF2262" w:rsidTr="00EC7B94">
        <w:trPr>
          <w:trHeight w:val="424"/>
        </w:trPr>
        <w:tc>
          <w:tcPr>
            <w:tcW w:w="9968" w:type="dxa"/>
            <w:gridSpan w:val="2"/>
            <w:tcBorders>
              <w:top w:val="single" w:sz="4" w:space="0" w:color="auto"/>
            </w:tcBorders>
          </w:tcPr>
          <w:p w:rsidR="0006706A" w:rsidRPr="00AF2262" w:rsidRDefault="0006706A" w:rsidP="00EC7B94">
            <w:pPr>
              <w:rPr>
                <w:rFonts w:ascii="Tahoma" w:hAnsi="Tahoma" w:cs="Tahoma"/>
                <w:b/>
                <w:sz w:val="20"/>
              </w:rPr>
            </w:pPr>
            <w:r w:rsidRPr="00AF2262">
              <w:rPr>
                <w:rFonts w:ascii="Tahoma" w:hAnsi="Tahoma" w:cs="Tahoma"/>
                <w:b/>
                <w:sz w:val="20"/>
              </w:rPr>
              <w:t xml:space="preserve">Raport bieżący nr </w:t>
            </w:r>
            <w:r w:rsidR="00EC7B94">
              <w:rPr>
                <w:rFonts w:ascii="Tahoma" w:hAnsi="Tahoma" w:cs="Tahoma"/>
                <w:b/>
                <w:sz w:val="20"/>
              </w:rPr>
              <w:t>7</w:t>
            </w:r>
            <w:r>
              <w:rPr>
                <w:rFonts w:ascii="Tahoma" w:hAnsi="Tahoma" w:cs="Tahoma"/>
                <w:b/>
                <w:sz w:val="20"/>
              </w:rPr>
              <w:t>/2010</w:t>
            </w:r>
          </w:p>
        </w:tc>
      </w:tr>
      <w:tr w:rsidR="0006706A" w:rsidRPr="00AF2262" w:rsidTr="00EC7B94">
        <w:trPr>
          <w:trHeight w:val="524"/>
        </w:trPr>
        <w:tc>
          <w:tcPr>
            <w:tcW w:w="9968" w:type="dxa"/>
            <w:gridSpan w:val="2"/>
            <w:tcBorders>
              <w:bottom w:val="single" w:sz="4" w:space="0" w:color="auto"/>
            </w:tcBorders>
          </w:tcPr>
          <w:p w:rsidR="00EC7B94" w:rsidRDefault="00EC7B94" w:rsidP="00EC7B94">
            <w:pPr>
              <w:spacing w:after="120"/>
              <w:jc w:val="both"/>
              <w:rPr>
                <w:rFonts w:ascii="Tahoma" w:hAnsi="Tahoma" w:cs="Tahoma"/>
                <w:sz w:val="20"/>
              </w:rPr>
            </w:pPr>
            <w:r>
              <w:rPr>
                <w:rFonts w:ascii="Tahoma" w:hAnsi="Tahoma" w:cs="Tahoma"/>
                <w:sz w:val="20"/>
              </w:rPr>
              <w:t>Zarząd Doradztwa Gospodarczego DGA S.A. („DGA”) informuje, iż w dniu 3 marca 2010 roku DGA otrzymało zawiadomienie, iż w związku z zarejestrowaniem obniżenia kapitału zakładowego DGA – co nastąpiło na mocy  postanowienia z dnia 17 lutego 2010 roku, wydanego przez Sąd Rejonowy Poznań – Nowe Miasto i Wilda w Poznaniu, VIII Wydział Gospodarczy KRS (raport bieżący nr 6/2010 z dnia 23 lutego 2010 roku) – udział Pana Andrzeja Głowackiego (Prezesa Zarządu) w ogólnej liczbie głosów na Walnym Zgromadzeniu DGA, zwiększył się o ok. 4,37 %.</w:t>
            </w:r>
          </w:p>
          <w:p w:rsidR="00EC7B94" w:rsidRDefault="00EC7B94" w:rsidP="00EC7B94">
            <w:pPr>
              <w:spacing w:after="120"/>
              <w:jc w:val="both"/>
              <w:rPr>
                <w:rFonts w:ascii="Tahoma" w:hAnsi="Tahoma" w:cs="Tahoma"/>
                <w:sz w:val="20"/>
              </w:rPr>
            </w:pPr>
            <w:r>
              <w:rPr>
                <w:rFonts w:ascii="Tahoma" w:hAnsi="Tahoma" w:cs="Tahoma"/>
                <w:sz w:val="20"/>
              </w:rPr>
              <w:t>Pan Andrzej Głowacki jest właścicielem 3.558.932 akcji w kapitale zakładowym DGA dających 3.558.932 głosów. Przy czym 784.000 akcji ma charakter akcji imiennych oznaczonych serią E. Dają one 784.000 głosów na Walnym Zgromadzeniu DGA. Pozostałe 2.774.932 akcje są akcjami na okaziciela notowanymi na giełdowym rynku regulowanym, dającymi  2.774.932 głosów.</w:t>
            </w:r>
          </w:p>
          <w:p w:rsidR="00EC7B94" w:rsidRDefault="00EC7B94" w:rsidP="00EC7B94">
            <w:pPr>
              <w:spacing w:after="120"/>
              <w:jc w:val="both"/>
              <w:rPr>
                <w:rFonts w:ascii="Tahoma" w:hAnsi="Tahoma" w:cs="Tahoma"/>
                <w:sz w:val="20"/>
              </w:rPr>
            </w:pPr>
            <w:r>
              <w:rPr>
                <w:rFonts w:ascii="Tahoma" w:hAnsi="Tahoma" w:cs="Tahoma"/>
                <w:sz w:val="20"/>
              </w:rPr>
              <w:t xml:space="preserve">Przed zarejestrowaniem zmiany w kapitale zakładowym DGA, Pan Andrzej Głowacki dysponował ok. 34,99 % ogólnej liczby akcji dającymi 34,99 % ogólnej liczby głosów na Walnym Zgromadzeniu DGA. Przy czym  784.000 akcji imiennych serii E stanowiły ok. 7,70 % ogólnej liczby akcji i dawały ok. 7,70 % ogólnej liczby głosów a pozostałe 2.774.932 akcje na okaziciela stanowiły ok. 27,29 % ogólnej liczy akcji dających 27,29 % ogólnej liczby głosów. </w:t>
            </w:r>
          </w:p>
          <w:p w:rsidR="0006706A" w:rsidRPr="00AF2262" w:rsidRDefault="00EC7B94" w:rsidP="00EC7B94">
            <w:pPr>
              <w:spacing w:after="120"/>
              <w:jc w:val="both"/>
              <w:rPr>
                <w:rFonts w:ascii="Tahoma" w:hAnsi="Tahoma" w:cs="Tahoma"/>
                <w:sz w:val="20"/>
              </w:rPr>
            </w:pPr>
            <w:r>
              <w:rPr>
                <w:rFonts w:ascii="Tahoma" w:hAnsi="Tahoma" w:cs="Tahoma"/>
                <w:sz w:val="20"/>
              </w:rPr>
              <w:t>Po zarejestrowaniu zmian w kapitale zakładowym Pan Andrzej Głowacki dysponuje ok. 39,36 % ogólnej liczby akcji uprawniającymi do 39,36 % ogólnej liczby głosów na Walnym Zgromadzeniu DGA. Przy czym  784.000 akcji imiennych serii E stanowi ok. 8,67 % ogólnej liczby akcji i daje ok.  8,67 % ogólnej liczby głosów a pozostałe 2.774.932 akcje na okaziciela stanowią ok. 30,69 % ogólnej liczy akcji dających 30,69 % ogólnej liczby głosów.</w:t>
            </w:r>
          </w:p>
        </w:tc>
      </w:tr>
      <w:tr w:rsidR="0006706A" w:rsidRPr="00AF2262" w:rsidTr="00EC7B94">
        <w:trPr>
          <w:trHeight w:val="707"/>
        </w:trPr>
        <w:tc>
          <w:tcPr>
            <w:tcW w:w="9968" w:type="dxa"/>
            <w:gridSpan w:val="2"/>
            <w:tcBorders>
              <w:bottom w:val="single" w:sz="4" w:space="0" w:color="auto"/>
            </w:tcBorders>
          </w:tcPr>
          <w:p w:rsidR="0006706A" w:rsidRPr="008E3A72" w:rsidRDefault="00EC7B94" w:rsidP="001E0E5F">
            <w:pPr>
              <w:spacing w:before="240"/>
              <w:jc w:val="both"/>
              <w:rPr>
                <w:rFonts w:ascii="Arial" w:hAnsi="Arial" w:cs="Arial"/>
                <w:sz w:val="20"/>
              </w:rPr>
            </w:pPr>
            <w:r>
              <w:rPr>
                <w:rFonts w:ascii="Arial" w:hAnsi="Arial" w:cs="Arial"/>
                <w:bCs/>
                <w:sz w:val="20"/>
              </w:rPr>
              <w:t>Podstawa prawna: a</w:t>
            </w:r>
            <w:r w:rsidR="0006706A" w:rsidRPr="008E3A72">
              <w:rPr>
                <w:rFonts w:ascii="Arial" w:hAnsi="Arial" w:cs="Arial"/>
                <w:bCs/>
                <w:sz w:val="20"/>
              </w:rPr>
              <w:t>rt. 70</w:t>
            </w:r>
            <w:r w:rsidR="0006706A" w:rsidRPr="008E3A72">
              <w:rPr>
                <w:rFonts w:ascii="Arial" w:hAnsi="Arial" w:cs="Arial"/>
                <w:sz w:val="20"/>
              </w:rPr>
              <w:t xml:space="preserve"> </w:t>
            </w:r>
            <w:proofErr w:type="spellStart"/>
            <w:r w:rsidR="0006706A" w:rsidRPr="008E3A72">
              <w:rPr>
                <w:rFonts w:ascii="Arial" w:hAnsi="Arial" w:cs="Arial"/>
                <w:sz w:val="20"/>
              </w:rPr>
              <w:t>pk</w:t>
            </w:r>
            <w:r>
              <w:rPr>
                <w:rFonts w:ascii="Arial" w:hAnsi="Arial" w:cs="Arial"/>
                <w:sz w:val="20"/>
              </w:rPr>
              <w:t>t</w:t>
            </w:r>
            <w:proofErr w:type="spellEnd"/>
            <w:r>
              <w:rPr>
                <w:rFonts w:ascii="Arial" w:hAnsi="Arial" w:cs="Arial"/>
                <w:sz w:val="20"/>
              </w:rPr>
              <w:t xml:space="preserve"> </w:t>
            </w:r>
            <w:r w:rsidR="0006706A" w:rsidRPr="008E3A72">
              <w:rPr>
                <w:rFonts w:ascii="Arial" w:hAnsi="Arial" w:cs="Arial"/>
                <w:sz w:val="20"/>
              </w:rPr>
              <w:t>1</w:t>
            </w:r>
            <w:r w:rsidR="0006706A" w:rsidRPr="008E3A72">
              <w:rPr>
                <w:rFonts w:ascii="Arial" w:hAnsi="Arial" w:cs="Arial"/>
                <w:sz w:val="20"/>
              </w:rPr>
              <w:tab/>
            </w:r>
            <w:r>
              <w:rPr>
                <w:rFonts w:ascii="Arial" w:hAnsi="Arial" w:cs="Arial"/>
                <w:sz w:val="20"/>
              </w:rPr>
              <w:t xml:space="preserve">ustawy </w:t>
            </w:r>
            <w:r w:rsidR="0006706A" w:rsidRPr="008E3A72">
              <w:rPr>
                <w:rFonts w:ascii="Arial" w:hAnsi="Arial" w:cs="Arial"/>
                <w:sz w:val="20"/>
              </w:rPr>
              <w:t xml:space="preserve">z dnia 29 lipca 2005 r.  </w:t>
            </w:r>
            <w:r w:rsidR="0006706A" w:rsidRPr="008E3A72">
              <w:rPr>
                <w:rFonts w:ascii="Arial" w:hAnsi="Arial" w:cs="Arial"/>
                <w:bCs/>
                <w:sz w:val="20"/>
              </w:rPr>
              <w:t>o ofercie publicznej i warunkach wprowadzania instrumentów finansowych do zorganizowanego systemu obrotu oraz o spółkach publicznych</w:t>
            </w:r>
          </w:p>
          <w:p w:rsidR="0006706A" w:rsidRPr="00C90EC1" w:rsidRDefault="0006706A" w:rsidP="001E0E5F">
            <w:pPr>
              <w:autoSpaceDE w:val="0"/>
              <w:autoSpaceDN w:val="0"/>
              <w:adjustRightInd w:val="0"/>
              <w:jc w:val="both"/>
              <w:rPr>
                <w:rFonts w:ascii="Tahoma" w:hAnsi="Tahoma" w:cs="Tahoma"/>
                <w:sz w:val="20"/>
              </w:rPr>
            </w:pPr>
          </w:p>
        </w:tc>
      </w:tr>
      <w:tr w:rsidR="0006706A" w:rsidRPr="00AF2262" w:rsidTr="00EC7B94">
        <w:trPr>
          <w:trHeight w:val="429"/>
        </w:trPr>
        <w:tc>
          <w:tcPr>
            <w:tcW w:w="9968" w:type="dxa"/>
            <w:gridSpan w:val="2"/>
            <w:tcBorders>
              <w:top w:val="single" w:sz="4" w:space="0" w:color="auto"/>
            </w:tcBorders>
          </w:tcPr>
          <w:p w:rsidR="0006706A" w:rsidRPr="00AF2262" w:rsidRDefault="0006706A" w:rsidP="00EC7B94">
            <w:pPr>
              <w:rPr>
                <w:rFonts w:ascii="Tahoma" w:hAnsi="Tahoma" w:cs="Tahoma"/>
                <w:sz w:val="20"/>
              </w:rPr>
            </w:pPr>
            <w:r w:rsidRPr="00AF2262">
              <w:rPr>
                <w:rFonts w:ascii="Tahoma" w:hAnsi="Tahoma" w:cs="Tahoma"/>
                <w:sz w:val="20"/>
              </w:rPr>
              <w:t xml:space="preserve">Podpis osoby </w:t>
            </w:r>
            <w:r w:rsidR="00EC7B94">
              <w:rPr>
                <w:rFonts w:ascii="Tahoma" w:hAnsi="Tahoma" w:cs="Tahoma"/>
                <w:sz w:val="20"/>
              </w:rPr>
              <w:t>reprezentującej Spółkę</w:t>
            </w:r>
            <w:r w:rsidRPr="00AF2262">
              <w:rPr>
                <w:rFonts w:ascii="Tahoma" w:hAnsi="Tahoma" w:cs="Tahoma"/>
                <w:sz w:val="20"/>
              </w:rPr>
              <w:t>:</w:t>
            </w:r>
          </w:p>
        </w:tc>
      </w:tr>
      <w:tr w:rsidR="0006706A" w:rsidRPr="00AF2262" w:rsidTr="00EC7B94">
        <w:trPr>
          <w:trHeight w:val="706"/>
        </w:trPr>
        <w:tc>
          <w:tcPr>
            <w:tcW w:w="9968" w:type="dxa"/>
            <w:gridSpan w:val="2"/>
          </w:tcPr>
          <w:p w:rsidR="0006706A" w:rsidRPr="00AF2262" w:rsidRDefault="0006706A" w:rsidP="001E0E5F">
            <w:pPr>
              <w:rPr>
                <w:rFonts w:ascii="Tahoma" w:hAnsi="Tahoma" w:cs="Tahoma"/>
                <w:b/>
                <w:sz w:val="20"/>
              </w:rPr>
            </w:pPr>
          </w:p>
          <w:p w:rsidR="0006706A" w:rsidRDefault="0006706A" w:rsidP="001E0E5F">
            <w:pPr>
              <w:rPr>
                <w:rFonts w:ascii="Tahoma" w:hAnsi="Tahoma" w:cs="Tahoma"/>
                <w:b/>
                <w:sz w:val="20"/>
              </w:rPr>
            </w:pPr>
          </w:p>
          <w:p w:rsidR="0006706A" w:rsidRDefault="0006706A" w:rsidP="001E0E5F">
            <w:pPr>
              <w:rPr>
                <w:rFonts w:ascii="Tahoma" w:hAnsi="Tahoma" w:cs="Tahoma"/>
                <w:b/>
                <w:sz w:val="20"/>
              </w:rPr>
            </w:pPr>
            <w:r>
              <w:rPr>
                <w:rFonts w:ascii="Tahoma" w:hAnsi="Tahoma" w:cs="Tahoma"/>
                <w:b/>
                <w:sz w:val="20"/>
              </w:rPr>
              <w:t xml:space="preserve">       Anna Szymańska </w:t>
            </w:r>
          </w:p>
          <w:p w:rsidR="0006706A" w:rsidRDefault="0006706A" w:rsidP="001E0E5F">
            <w:pPr>
              <w:rPr>
                <w:rFonts w:ascii="Tahoma" w:hAnsi="Tahoma" w:cs="Tahoma"/>
                <w:b/>
                <w:sz w:val="20"/>
              </w:rPr>
            </w:pPr>
            <w:r>
              <w:rPr>
                <w:rFonts w:ascii="Tahoma" w:hAnsi="Tahoma" w:cs="Tahoma"/>
                <w:b/>
                <w:sz w:val="20"/>
              </w:rPr>
              <w:t xml:space="preserve">    Wiceprezes Zarządu </w:t>
            </w:r>
          </w:p>
          <w:p w:rsidR="0006706A" w:rsidRPr="00AF2262" w:rsidRDefault="0006706A" w:rsidP="001E0E5F">
            <w:pPr>
              <w:rPr>
                <w:rFonts w:ascii="Tahoma" w:hAnsi="Tahoma" w:cs="Tahoma"/>
                <w:b/>
                <w:sz w:val="20"/>
              </w:rPr>
            </w:pPr>
          </w:p>
        </w:tc>
      </w:tr>
    </w:tbl>
    <w:p w:rsidR="00F81418" w:rsidRDefault="00F81418" w:rsidP="00F81418">
      <w:pPr>
        <w:spacing w:line="360" w:lineRule="auto"/>
        <w:jc w:val="both"/>
        <w:rPr>
          <w:rFonts w:ascii="Tahoma" w:hAnsi="Tahoma" w:cs="Tahoma"/>
          <w:b/>
          <w:sz w:val="20"/>
        </w:rPr>
      </w:pPr>
    </w:p>
    <w:sectPr w:rsidR="00F81418" w:rsidSect="007140B9">
      <w:footerReference w:type="default" r:id="rId7"/>
      <w:headerReference w:type="first" r:id="rId8"/>
      <w:footerReference w:type="first" r:id="rId9"/>
      <w:pgSz w:w="11906" w:h="16838" w:code="9"/>
      <w:pgMar w:top="1418" w:right="1162" w:bottom="1418" w:left="1162" w:header="510" w:footer="7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1E5" w:rsidRDefault="00DB61E5">
      <w:r>
        <w:separator/>
      </w:r>
    </w:p>
  </w:endnote>
  <w:endnote w:type="continuationSeparator" w:id="0">
    <w:p w:rsidR="00DB61E5" w:rsidRDefault="00DB61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028" w:rsidRDefault="00B564EB">
    <w:pPr>
      <w:pStyle w:val="Stopk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9pt;margin-top:-33.3pt;width:504.85pt;height:92.1pt;z-index:251658240">
          <v:imagedata r:id="rId1" o:title="stopka-kontynuacja"/>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028" w:rsidRPr="00C64F4A" w:rsidRDefault="0006706A" w:rsidP="005355AA">
    <w:pPr>
      <w:pStyle w:val="Stopka"/>
      <w:jc w:val="both"/>
      <w:rPr>
        <w:sz w:val="20"/>
      </w:rPr>
    </w:pPr>
    <w:r w:rsidRPr="00B564EB">
      <w:rPr>
        <w:rFonts w:ascii="Tahoma" w:hAnsi="Tahoma" w:cs="Tahoma"/>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6pt;height:29.25pt">
          <v:imagedata r:id="rId1" o:title="stopka z DGA" croptop="15803f" cropbottom="30123f"/>
        </v:shape>
      </w:pict>
    </w:r>
    <w:r w:rsidR="00B564EB" w:rsidRPr="00B564EB">
      <w:rPr>
        <w:noProof/>
        <w:sz w:val="8"/>
        <w:szCs w:val="16"/>
      </w:rPr>
      <w:pict>
        <v:shapetype id="_x0000_t202" coordsize="21600,21600" o:spt="202" path="m,l,21600r21600,l21600,xe">
          <v:stroke joinstyle="miter"/>
          <v:path gradientshapeok="t" o:connecttype="rect"/>
        </v:shapetype>
        <v:shape id="_x0000_s2052" type="#_x0000_t202" style="position:absolute;left:0;text-align:left;margin-left:6.55pt;margin-top:4.35pt;width:479.1pt;height:41.5pt;z-index:251657216;mso-wrap-style:none;mso-position-horizontal-relative:text;mso-position-vertical-relative:text" filled="f" stroked="f">
          <v:textbox style="mso-next-textbox:#_x0000_s2052">
            <w:txbxContent>
              <w:p w:rsidR="00440028" w:rsidRPr="005355AA" w:rsidRDefault="00440028">
                <w:pPr>
                  <w:rPr>
                    <w:rFonts w:ascii="Tahoma" w:hAnsi="Tahoma" w:cs="Tahoma"/>
                    <w:sz w:val="16"/>
                    <w:szCs w:val="16"/>
                  </w:rPr>
                </w:pPr>
              </w:p>
              <w:p w:rsidR="00440028" w:rsidRPr="005355AA" w:rsidRDefault="00440028">
                <w:pPr>
                  <w:rPr>
                    <w:rFonts w:ascii="Tahoma" w:hAnsi="Tahoma" w:cs="Tahoma"/>
                    <w:sz w:val="16"/>
                    <w:szCs w:val="16"/>
                  </w:rPr>
                </w:pPr>
              </w:p>
            </w:txbxContent>
          </v:textbox>
        </v:shape>
      </w:pict>
    </w:r>
  </w:p>
  <w:p w:rsidR="00440028" w:rsidRPr="00F96658" w:rsidRDefault="0006706A" w:rsidP="00EE3C7F">
    <w:pPr>
      <w:pStyle w:val="Stopka"/>
      <w:jc w:val="center"/>
      <w:rPr>
        <w:rFonts w:ascii="Tahoma" w:hAnsi="Tahoma" w:cs="Tahoma"/>
        <w:sz w:val="16"/>
        <w:szCs w:val="16"/>
      </w:rPr>
    </w:pPr>
    <w:r w:rsidRPr="00B564EB">
      <w:rPr>
        <w:rFonts w:ascii="Tahoma" w:hAnsi="Tahoma" w:cs="Tahoma"/>
        <w:sz w:val="16"/>
        <w:szCs w:val="16"/>
      </w:rPr>
      <w:pict>
        <v:shape id="_x0000_i1027" type="#_x0000_t75" style="width:478.5pt;height:76.5pt">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1E5" w:rsidRDefault="00DB61E5">
      <w:r>
        <w:separator/>
      </w:r>
    </w:p>
  </w:footnote>
  <w:footnote w:type="continuationSeparator" w:id="0">
    <w:p w:rsidR="00DB61E5" w:rsidRDefault="00DB61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028" w:rsidRPr="00F96658" w:rsidRDefault="00B564EB" w:rsidP="00F96658">
    <w:pPr>
      <w:pStyle w:val="Nagwek"/>
      <w:rPr>
        <w:rFonts w:ascii="Tahoma" w:hAnsi="Tahoma" w:cs="Tahoma"/>
        <w:sz w:val="16"/>
        <w:szCs w:val="1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84pt">
          <v:imagedata r:id="rId1" o:title="dga+belka" cropbottom="14172f"/>
        </v:shape>
      </w:pict>
    </w:r>
  </w:p>
  <w:p w:rsidR="00440028" w:rsidRPr="00F96658" w:rsidRDefault="00440028">
    <w:pPr>
      <w:pStyle w:val="Nagwek"/>
      <w:rPr>
        <w:rFonts w:ascii="Tahoma" w:hAnsi="Tahoma" w:cs="Tahoma"/>
        <w:sz w:val="20"/>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oNotTrackMoves/>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14BF"/>
    <w:rsid w:val="00017CFE"/>
    <w:rsid w:val="00044E15"/>
    <w:rsid w:val="00051D87"/>
    <w:rsid w:val="00057F2F"/>
    <w:rsid w:val="0006706A"/>
    <w:rsid w:val="000B7EA0"/>
    <w:rsid w:val="000C14F5"/>
    <w:rsid w:val="000D13E7"/>
    <w:rsid w:val="000E135A"/>
    <w:rsid w:val="000F1307"/>
    <w:rsid w:val="00152C87"/>
    <w:rsid w:val="001614BF"/>
    <w:rsid w:val="001849EF"/>
    <w:rsid w:val="001967FC"/>
    <w:rsid w:val="001F01CC"/>
    <w:rsid w:val="00236E3A"/>
    <w:rsid w:val="002436FA"/>
    <w:rsid w:val="0026350A"/>
    <w:rsid w:val="00271F64"/>
    <w:rsid w:val="00305B01"/>
    <w:rsid w:val="00314CAB"/>
    <w:rsid w:val="003363A5"/>
    <w:rsid w:val="003451CB"/>
    <w:rsid w:val="003659F5"/>
    <w:rsid w:val="00394BFC"/>
    <w:rsid w:val="003A6A0A"/>
    <w:rsid w:val="003C202F"/>
    <w:rsid w:val="004152B4"/>
    <w:rsid w:val="0041556C"/>
    <w:rsid w:val="00440028"/>
    <w:rsid w:val="004426BB"/>
    <w:rsid w:val="004610CC"/>
    <w:rsid w:val="00467DD2"/>
    <w:rsid w:val="004A1FC7"/>
    <w:rsid w:val="004C0763"/>
    <w:rsid w:val="00502E50"/>
    <w:rsid w:val="005355AA"/>
    <w:rsid w:val="0054662D"/>
    <w:rsid w:val="00586CFC"/>
    <w:rsid w:val="005F1E96"/>
    <w:rsid w:val="005F2DD0"/>
    <w:rsid w:val="0061150D"/>
    <w:rsid w:val="00624558"/>
    <w:rsid w:val="00625B6A"/>
    <w:rsid w:val="00655B6C"/>
    <w:rsid w:val="006666EE"/>
    <w:rsid w:val="00670E24"/>
    <w:rsid w:val="007140B9"/>
    <w:rsid w:val="007270D4"/>
    <w:rsid w:val="007B0EF4"/>
    <w:rsid w:val="00813B4D"/>
    <w:rsid w:val="00864177"/>
    <w:rsid w:val="00885F7A"/>
    <w:rsid w:val="008B6475"/>
    <w:rsid w:val="008C4BA4"/>
    <w:rsid w:val="008D1A31"/>
    <w:rsid w:val="008E6647"/>
    <w:rsid w:val="00917AE0"/>
    <w:rsid w:val="009652E2"/>
    <w:rsid w:val="009921A3"/>
    <w:rsid w:val="009C59B1"/>
    <w:rsid w:val="009F14F1"/>
    <w:rsid w:val="00A14A0C"/>
    <w:rsid w:val="00A6694E"/>
    <w:rsid w:val="00A7112F"/>
    <w:rsid w:val="00A739B3"/>
    <w:rsid w:val="00A9685C"/>
    <w:rsid w:val="00AD0578"/>
    <w:rsid w:val="00AD3E54"/>
    <w:rsid w:val="00AF4EC0"/>
    <w:rsid w:val="00B22FD6"/>
    <w:rsid w:val="00B31D58"/>
    <w:rsid w:val="00B37C88"/>
    <w:rsid w:val="00B564EB"/>
    <w:rsid w:val="00BF1F7F"/>
    <w:rsid w:val="00BF2103"/>
    <w:rsid w:val="00BF2427"/>
    <w:rsid w:val="00BF4AA5"/>
    <w:rsid w:val="00BF78DA"/>
    <w:rsid w:val="00C047FB"/>
    <w:rsid w:val="00C134A1"/>
    <w:rsid w:val="00C456C6"/>
    <w:rsid w:val="00C64F4A"/>
    <w:rsid w:val="00C92427"/>
    <w:rsid w:val="00CE6E7F"/>
    <w:rsid w:val="00CF5F1D"/>
    <w:rsid w:val="00D10EEE"/>
    <w:rsid w:val="00D41ED7"/>
    <w:rsid w:val="00D610FE"/>
    <w:rsid w:val="00D9553C"/>
    <w:rsid w:val="00DB0DF4"/>
    <w:rsid w:val="00DB5BA8"/>
    <w:rsid w:val="00DB61E5"/>
    <w:rsid w:val="00DC382E"/>
    <w:rsid w:val="00DF143A"/>
    <w:rsid w:val="00DF6E3B"/>
    <w:rsid w:val="00E75E3F"/>
    <w:rsid w:val="00E75F8F"/>
    <w:rsid w:val="00EC7B94"/>
    <w:rsid w:val="00EE3C7F"/>
    <w:rsid w:val="00F22F9A"/>
    <w:rsid w:val="00F6191D"/>
    <w:rsid w:val="00F80B6B"/>
    <w:rsid w:val="00F81418"/>
    <w:rsid w:val="00F833B8"/>
    <w:rsid w:val="00F96658"/>
    <w:rsid w:val="00FA0CC3"/>
    <w:rsid w:val="00FA6596"/>
    <w:rsid w:val="00FA6C42"/>
    <w:rsid w:val="00FB51E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uiPriority w:val="99"/>
    <w:unhideWhenUsed/>
    <w:rsid w:val="001967FC"/>
    <w:rPr>
      <w:color w:val="0000FF"/>
      <w:u w:val="single"/>
    </w:rPr>
  </w:style>
  <w:style w:type="character" w:styleId="Uwydatnienie">
    <w:name w:val="Emphasis"/>
    <w:basedOn w:val="Domylnaczcionkaakapitu"/>
    <w:uiPriority w:val="99"/>
    <w:qFormat/>
    <w:rsid w:val="009921A3"/>
    <w:rPr>
      <w:rFonts w:cs="Times New Roman"/>
      <w:i/>
      <w:iCs/>
    </w:rPr>
  </w:style>
</w:styles>
</file>

<file path=word/webSettings.xml><?xml version="1.0" encoding="utf-8"?>
<w:webSettings xmlns:r="http://schemas.openxmlformats.org/officeDocument/2006/relationships" xmlns:w="http://schemas.openxmlformats.org/wordprocessingml/2006/main">
  <w:divs>
    <w:div w:id="309216553">
      <w:bodyDiv w:val="1"/>
      <w:marLeft w:val="0"/>
      <w:marRight w:val="0"/>
      <w:marTop w:val="0"/>
      <w:marBottom w:val="0"/>
      <w:divBdr>
        <w:top w:val="none" w:sz="0" w:space="0" w:color="auto"/>
        <w:left w:val="none" w:sz="0" w:space="0" w:color="auto"/>
        <w:bottom w:val="none" w:sz="0" w:space="0" w:color="auto"/>
        <w:right w:val="none" w:sz="0" w:space="0" w:color="auto"/>
      </w:divBdr>
    </w:div>
    <w:div w:id="1347907105">
      <w:bodyDiv w:val="1"/>
      <w:marLeft w:val="0"/>
      <w:marRight w:val="0"/>
      <w:marTop w:val="0"/>
      <w:marBottom w:val="0"/>
      <w:divBdr>
        <w:top w:val="none" w:sz="0" w:space="0" w:color="auto"/>
        <w:left w:val="none" w:sz="0" w:space="0" w:color="auto"/>
        <w:bottom w:val="none" w:sz="0" w:space="0" w:color="auto"/>
        <w:right w:val="none" w:sz="0" w:space="0" w:color="auto"/>
      </w:divBdr>
    </w:div>
    <w:div w:id="207462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listownik.dot</Template>
  <TotalTime>3</TotalTime>
  <Pages>1</Pages>
  <Words>334</Words>
  <Characters>1943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Poznań, data</vt:lpstr>
    </vt:vector>
  </TitlesOfParts>
  <Company>Creative Force sp. z o. o.</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data</dc:title>
  <dc:subject/>
  <dc:creator>Pracownik</dc:creator>
  <cp:keywords/>
  <dc:description/>
  <cp:lastModifiedBy>Jarzębski, Remigiusz</cp:lastModifiedBy>
  <cp:revision>2</cp:revision>
  <cp:lastPrinted>2010-02-10T08:28:00Z</cp:lastPrinted>
  <dcterms:created xsi:type="dcterms:W3CDTF">2010-03-12T10:21:00Z</dcterms:created>
  <dcterms:modified xsi:type="dcterms:W3CDTF">2010-03-12T10:21:00Z</dcterms:modified>
</cp:coreProperties>
</file>