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06A" w:rsidRPr="00AF2262" w:rsidRDefault="0006706A" w:rsidP="0006706A">
      <w:pPr>
        <w:jc w:val="right"/>
        <w:outlineLvl w:val="0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>
        <w:rPr>
          <w:rFonts w:ascii="Tahoma" w:hAnsi="Tahoma"/>
          <w:sz w:val="22"/>
          <w:szCs w:val="22"/>
        </w:rPr>
        <w:t xml:space="preserve">dnia </w:t>
      </w:r>
      <w:r w:rsidR="0037277F">
        <w:rPr>
          <w:rFonts w:ascii="Tahoma" w:hAnsi="Tahoma"/>
          <w:sz w:val="22"/>
          <w:szCs w:val="22"/>
        </w:rPr>
        <w:t>19</w:t>
      </w:r>
      <w:r>
        <w:rPr>
          <w:rFonts w:ascii="Tahoma" w:hAnsi="Tahoma"/>
          <w:sz w:val="22"/>
          <w:szCs w:val="22"/>
        </w:rPr>
        <w:t>.0</w:t>
      </w:r>
      <w:r w:rsidR="007F5B69">
        <w:rPr>
          <w:rFonts w:ascii="Tahoma" w:hAnsi="Tahoma"/>
          <w:sz w:val="22"/>
          <w:szCs w:val="22"/>
        </w:rPr>
        <w:t>8</w:t>
      </w:r>
      <w:r>
        <w:rPr>
          <w:rFonts w:ascii="Tahoma" w:hAnsi="Tahoma"/>
          <w:sz w:val="22"/>
          <w:szCs w:val="22"/>
        </w:rPr>
        <w:t>.2010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06706A" w:rsidRPr="00AF2262" w:rsidRDefault="0006706A" w:rsidP="0006706A">
      <w:pPr>
        <w:jc w:val="right"/>
        <w:rPr>
          <w:rFonts w:ascii="Tahoma" w:hAnsi="Tahoma"/>
          <w:sz w:val="22"/>
          <w:szCs w:val="22"/>
        </w:rPr>
      </w:pPr>
    </w:p>
    <w:p w:rsidR="0006706A" w:rsidRPr="00AF2262" w:rsidRDefault="0006706A" w:rsidP="0006706A">
      <w:pPr>
        <w:rPr>
          <w:rFonts w:ascii="Tahoma" w:hAnsi="Tahoma"/>
          <w:sz w:val="20"/>
        </w:rPr>
      </w:pP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860"/>
      </w:tblGrid>
      <w:tr w:rsidR="0006706A" w:rsidRPr="00AF2262" w:rsidTr="00EC7B94">
        <w:trPr>
          <w:trHeight w:val="851"/>
        </w:trPr>
        <w:tc>
          <w:tcPr>
            <w:tcW w:w="1108" w:type="dxa"/>
          </w:tcPr>
          <w:p w:rsidR="0006706A" w:rsidRPr="00AF2262" w:rsidRDefault="0006706A" w:rsidP="00F07465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860" w:type="dxa"/>
          </w:tcPr>
          <w:p w:rsidR="0006706A" w:rsidRPr="00AF2262" w:rsidRDefault="0006706A" w:rsidP="00F07465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06706A" w:rsidRPr="00AF2262" w:rsidRDefault="0006706A" w:rsidP="00F07465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06706A" w:rsidRPr="00AF2262" w:rsidRDefault="0006706A" w:rsidP="00F07465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06706A" w:rsidRPr="00AF2262" w:rsidRDefault="0006706A" w:rsidP="00F07465">
            <w:pPr>
              <w:rPr>
                <w:rFonts w:ascii="Tahoma" w:hAnsi="Tahoma" w:cs="Tahoma"/>
                <w:sz w:val="20"/>
              </w:rPr>
            </w:pPr>
          </w:p>
        </w:tc>
      </w:tr>
      <w:tr w:rsidR="0006706A" w:rsidRPr="00AF2262" w:rsidTr="00EC7B94">
        <w:trPr>
          <w:trHeight w:val="619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06706A" w:rsidRPr="00AF2262" w:rsidRDefault="0006706A" w:rsidP="00F07465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860" w:type="dxa"/>
            <w:tcBorders>
              <w:top w:val="single" w:sz="4" w:space="0" w:color="auto"/>
              <w:bottom w:val="single" w:sz="4" w:space="0" w:color="auto"/>
            </w:tcBorders>
          </w:tcPr>
          <w:p w:rsidR="0006706A" w:rsidRPr="00AF2262" w:rsidRDefault="006F009B" w:rsidP="006F009B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Aneks</w:t>
            </w:r>
            <w:r w:rsidR="00B512D3">
              <w:rPr>
                <w:rFonts w:ascii="Tahoma" w:hAnsi="Tahoma" w:cs="Tahoma"/>
                <w:b/>
                <w:sz w:val="20"/>
              </w:rPr>
              <w:t xml:space="preserve"> do umowy</w:t>
            </w:r>
            <w:r>
              <w:rPr>
                <w:rFonts w:ascii="Tahoma" w:hAnsi="Tahoma" w:cs="Tahoma"/>
                <w:b/>
                <w:sz w:val="20"/>
              </w:rPr>
              <w:t xml:space="preserve"> kredytowej z PKO BP S.A.</w:t>
            </w:r>
          </w:p>
        </w:tc>
      </w:tr>
      <w:tr w:rsidR="0006706A" w:rsidRPr="00AF2262" w:rsidTr="00EC7B94">
        <w:trPr>
          <w:trHeight w:val="424"/>
        </w:trPr>
        <w:tc>
          <w:tcPr>
            <w:tcW w:w="9968" w:type="dxa"/>
            <w:gridSpan w:val="2"/>
            <w:tcBorders>
              <w:top w:val="single" w:sz="4" w:space="0" w:color="auto"/>
            </w:tcBorders>
          </w:tcPr>
          <w:p w:rsidR="0006706A" w:rsidRPr="00AF2262" w:rsidRDefault="0006706A" w:rsidP="006F009B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EA3395">
              <w:rPr>
                <w:rFonts w:ascii="Tahoma" w:hAnsi="Tahoma" w:cs="Tahoma"/>
                <w:b/>
                <w:sz w:val="20"/>
              </w:rPr>
              <w:t>2</w:t>
            </w:r>
            <w:r w:rsidR="006F009B">
              <w:rPr>
                <w:rFonts w:ascii="Tahoma" w:hAnsi="Tahoma" w:cs="Tahoma"/>
                <w:b/>
                <w:sz w:val="20"/>
              </w:rPr>
              <w:t>4</w:t>
            </w:r>
            <w:r>
              <w:rPr>
                <w:rFonts w:ascii="Tahoma" w:hAnsi="Tahoma" w:cs="Tahoma"/>
                <w:b/>
                <w:sz w:val="20"/>
              </w:rPr>
              <w:t>/2010</w:t>
            </w:r>
          </w:p>
        </w:tc>
      </w:tr>
      <w:tr w:rsidR="0006706A" w:rsidRPr="00AF2262" w:rsidTr="00EC7B94">
        <w:trPr>
          <w:trHeight w:val="524"/>
        </w:trPr>
        <w:tc>
          <w:tcPr>
            <w:tcW w:w="9968" w:type="dxa"/>
            <w:gridSpan w:val="2"/>
            <w:tcBorders>
              <w:bottom w:val="single" w:sz="4" w:space="0" w:color="auto"/>
            </w:tcBorders>
          </w:tcPr>
          <w:p w:rsidR="00034A2B" w:rsidRDefault="00034A2B" w:rsidP="00034A2B">
            <w:pPr>
              <w:jc w:val="both"/>
              <w:rPr>
                <w:rFonts w:ascii="Tahoma" w:hAnsi="Tahoma" w:cs="Tahoma"/>
                <w:sz w:val="20"/>
              </w:rPr>
            </w:pPr>
            <w:r w:rsidRPr="009C078C">
              <w:rPr>
                <w:rFonts w:ascii="Tahoma" w:hAnsi="Tahoma" w:cs="Tahoma"/>
                <w:sz w:val="20"/>
              </w:rPr>
              <w:t>Zarząd Spółki Doradztwo Gospodarcze DGA S.A.</w:t>
            </w:r>
            <w:r w:rsidR="006F009B">
              <w:rPr>
                <w:rFonts w:ascii="Tahoma" w:hAnsi="Tahoma" w:cs="Tahoma"/>
                <w:sz w:val="20"/>
              </w:rPr>
              <w:t xml:space="preserve"> (</w:t>
            </w:r>
            <w:r w:rsidR="00B512D3">
              <w:rPr>
                <w:rFonts w:ascii="Tahoma" w:hAnsi="Tahoma" w:cs="Tahoma"/>
                <w:sz w:val="20"/>
              </w:rPr>
              <w:t>„DGA</w:t>
            </w:r>
            <w:r w:rsidR="007F5B69">
              <w:rPr>
                <w:rFonts w:ascii="Tahoma" w:hAnsi="Tahoma" w:cs="Tahoma"/>
                <w:sz w:val="20"/>
              </w:rPr>
              <w:t>”)</w:t>
            </w:r>
            <w:r w:rsidRPr="009C078C">
              <w:rPr>
                <w:rFonts w:ascii="Tahoma" w:hAnsi="Tahoma" w:cs="Tahoma"/>
                <w:sz w:val="20"/>
              </w:rPr>
              <w:t xml:space="preserve"> informuje, że </w:t>
            </w:r>
            <w:r w:rsidR="007F5B69" w:rsidRPr="00847B68">
              <w:rPr>
                <w:rFonts w:ascii="Tahoma" w:hAnsi="Tahoma" w:cs="Tahoma"/>
                <w:sz w:val="18"/>
                <w:szCs w:val="18"/>
              </w:rPr>
              <w:t xml:space="preserve">w dniu </w:t>
            </w:r>
            <w:r w:rsidR="00B97A14">
              <w:rPr>
                <w:rFonts w:ascii="Tahoma" w:hAnsi="Tahoma" w:cs="Tahoma"/>
                <w:sz w:val="18"/>
                <w:szCs w:val="18"/>
              </w:rPr>
              <w:t>19</w:t>
            </w:r>
            <w:r w:rsidR="007F5B69" w:rsidRPr="00847B68">
              <w:rPr>
                <w:rFonts w:ascii="Tahoma" w:hAnsi="Tahoma" w:cs="Tahoma"/>
                <w:sz w:val="18"/>
                <w:szCs w:val="18"/>
              </w:rPr>
              <w:t xml:space="preserve"> sierpnia 2010 roku </w:t>
            </w:r>
            <w:r w:rsidR="00051A89">
              <w:rPr>
                <w:rFonts w:ascii="Tahoma" w:hAnsi="Tahoma" w:cs="Tahoma"/>
                <w:sz w:val="18"/>
                <w:szCs w:val="18"/>
              </w:rPr>
              <w:t xml:space="preserve">podpisany </w:t>
            </w:r>
            <w:r w:rsidR="00B97A14">
              <w:rPr>
                <w:rFonts w:ascii="Tahoma" w:hAnsi="Tahoma" w:cs="Tahoma"/>
                <w:sz w:val="18"/>
                <w:szCs w:val="18"/>
              </w:rPr>
              <w:t xml:space="preserve">został </w:t>
            </w:r>
            <w:r w:rsidR="00051A89">
              <w:rPr>
                <w:rFonts w:ascii="Tahoma" w:hAnsi="Tahoma" w:cs="Tahoma"/>
                <w:sz w:val="18"/>
                <w:szCs w:val="18"/>
              </w:rPr>
              <w:t xml:space="preserve">aneks </w:t>
            </w:r>
            <w:r w:rsidR="00B512D3">
              <w:rPr>
                <w:rFonts w:ascii="Tahoma" w:hAnsi="Tahoma" w:cs="Tahoma"/>
                <w:sz w:val="18"/>
                <w:szCs w:val="18"/>
              </w:rPr>
              <w:t xml:space="preserve">do umowy </w:t>
            </w:r>
            <w:r w:rsidR="006F009B">
              <w:rPr>
                <w:rFonts w:ascii="Tahoma" w:hAnsi="Tahoma" w:cs="Tahoma"/>
                <w:sz w:val="18"/>
                <w:szCs w:val="18"/>
              </w:rPr>
              <w:t>kredytowej z dnia 23 sierpnia 2007 r. zawartej z bankiem Powszechna Kasa Oszczędności Bank Polski S.A. („PKO BP”), o której Zarząd DGA informował w raporcie bieżącym nr 43/2007 z dnia 23 sierpnia 2007 r.</w:t>
            </w:r>
          </w:p>
          <w:p w:rsidR="00034A2B" w:rsidRDefault="00034A2B" w:rsidP="00034A2B">
            <w:pPr>
              <w:jc w:val="both"/>
              <w:rPr>
                <w:rFonts w:ascii="Tahoma" w:hAnsi="Tahoma" w:cs="Tahoma"/>
                <w:sz w:val="20"/>
              </w:rPr>
            </w:pPr>
          </w:p>
          <w:p w:rsidR="00556F21" w:rsidRDefault="00051A89" w:rsidP="009848B0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Na mocy aneksu </w:t>
            </w:r>
            <w:r w:rsidR="006F009B">
              <w:rPr>
                <w:rFonts w:ascii="Tahoma" w:hAnsi="Tahoma" w:cs="Tahoma"/>
                <w:sz w:val="18"/>
                <w:szCs w:val="18"/>
              </w:rPr>
              <w:t xml:space="preserve">okres wykorzystania limitu </w:t>
            </w:r>
            <w:r>
              <w:rPr>
                <w:rFonts w:ascii="Tahoma" w:hAnsi="Tahoma" w:cs="Tahoma"/>
                <w:sz w:val="18"/>
                <w:szCs w:val="18"/>
              </w:rPr>
              <w:t xml:space="preserve">kredytowego wielocelowego w kwocie 4 000 000 </w:t>
            </w:r>
            <w:r w:rsidR="006D7327">
              <w:rPr>
                <w:rFonts w:ascii="Tahoma" w:hAnsi="Tahoma" w:cs="Tahoma"/>
                <w:sz w:val="18"/>
                <w:szCs w:val="18"/>
              </w:rPr>
              <w:t>(cztery miliony</w:t>
            </w:r>
            <w:r>
              <w:rPr>
                <w:rFonts w:ascii="Tahoma" w:hAnsi="Tahoma" w:cs="Tahoma"/>
                <w:sz w:val="18"/>
                <w:szCs w:val="18"/>
              </w:rPr>
              <w:t>)</w:t>
            </w:r>
            <w:r w:rsidR="006D7327">
              <w:rPr>
                <w:rFonts w:ascii="Tahoma" w:hAnsi="Tahoma" w:cs="Tahoma"/>
                <w:sz w:val="18"/>
                <w:szCs w:val="18"/>
              </w:rPr>
              <w:t xml:space="preserve"> złotych</w:t>
            </w:r>
            <w:r>
              <w:rPr>
                <w:rFonts w:ascii="Tahoma" w:hAnsi="Tahoma" w:cs="Tahoma"/>
                <w:sz w:val="18"/>
                <w:szCs w:val="18"/>
              </w:rPr>
              <w:t xml:space="preserve"> przedłużony został do dnia 22 sierpnia 2013 r. Na limit kredytowy składa się kredyt obrotowy w rachunku bieżącym do kwoty 2 mln złotych oraz </w:t>
            </w:r>
            <w:r w:rsidR="00556F21">
              <w:rPr>
                <w:rFonts w:ascii="Tahoma" w:hAnsi="Tahoma" w:cs="Tahoma"/>
                <w:sz w:val="18"/>
                <w:szCs w:val="18"/>
              </w:rPr>
              <w:t xml:space="preserve">kredyt obrotowy odnawialny do kwoty 2 mln złotych. Limit kredytowy przeznaczony jest na finansowanie bieżących zobowiązań wynikających z prowadzonej działalności gospodarczej. </w:t>
            </w:r>
            <w:r w:rsidR="00C332C7">
              <w:rPr>
                <w:rFonts w:ascii="Tahoma" w:hAnsi="Tahoma" w:cs="Tahoma"/>
                <w:sz w:val="18"/>
                <w:szCs w:val="18"/>
              </w:rPr>
              <w:t>Na dzień sporządzenia niniejszego raportu DGA nie wykorzystuje przyznanego limitu.</w:t>
            </w:r>
          </w:p>
          <w:p w:rsidR="00A17BE8" w:rsidRDefault="00A17BE8" w:rsidP="009848B0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A17BE8" w:rsidRDefault="00A17BE8" w:rsidP="009848B0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Zabezpieczenie kredytu stanowi poręczenie Poznańskiego Funduszu Poręczeń Kredytowych Sp. z o.o.</w:t>
            </w:r>
            <w:r w:rsidR="000B14B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do wysokości 650 tys. złotych, hipoteka kaucyjna do kwoty 2 mln złotych na nieruchomościach</w:t>
            </w:r>
            <w:r w:rsidR="000B14B2">
              <w:rPr>
                <w:rFonts w:ascii="Tahoma" w:hAnsi="Tahoma" w:cs="Tahoma"/>
                <w:sz w:val="18"/>
                <w:szCs w:val="18"/>
              </w:rPr>
              <w:t xml:space="preserve"> należących do DGA wraz z cesją umowy ubezpieczenia tych nieruchomości, klauzula potrącenia wierzytelności z rachunku bieżącego, a także przelew wierzytelności pieniężnej z kontraktów, które będą finansowane środkami z kredytu obrotowego odnawialnego.  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556F21" w:rsidRDefault="00556F21" w:rsidP="009848B0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0B14B2" w:rsidRDefault="000B14B2" w:rsidP="009848B0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Pozostałe warunki nie odbiegają od powszechnie stosowanych dla tego typu umów.</w:t>
            </w:r>
          </w:p>
          <w:p w:rsidR="000B14B2" w:rsidRDefault="000B14B2" w:rsidP="009848B0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0B14B2" w:rsidRDefault="000B14B2" w:rsidP="009848B0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Aneks dotyczy umowy</w:t>
            </w:r>
            <w:r w:rsidR="006D7327">
              <w:rPr>
                <w:rFonts w:ascii="Tahoma" w:hAnsi="Tahoma" w:cs="Tahoma"/>
                <w:sz w:val="18"/>
                <w:szCs w:val="18"/>
              </w:rPr>
              <w:t xml:space="preserve"> uznanej</w:t>
            </w:r>
            <w:r>
              <w:rPr>
                <w:rFonts w:ascii="Tahoma" w:hAnsi="Tahoma" w:cs="Tahoma"/>
                <w:sz w:val="18"/>
                <w:szCs w:val="18"/>
              </w:rPr>
              <w:t xml:space="preserve"> za znaczącą ze względu na jej wartość, która przekracza 10% kapitałów własnych DGA.</w:t>
            </w:r>
          </w:p>
          <w:p w:rsidR="0006706A" w:rsidRDefault="006F009B" w:rsidP="009848B0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6F009B" w:rsidRPr="007F5B69" w:rsidRDefault="006F009B" w:rsidP="009848B0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6706A" w:rsidRPr="00AF2262" w:rsidTr="00EC7B94">
        <w:trPr>
          <w:trHeight w:val="707"/>
        </w:trPr>
        <w:tc>
          <w:tcPr>
            <w:tcW w:w="9968" w:type="dxa"/>
            <w:gridSpan w:val="2"/>
            <w:tcBorders>
              <w:bottom w:val="single" w:sz="4" w:space="0" w:color="auto"/>
            </w:tcBorders>
          </w:tcPr>
          <w:p w:rsidR="0006706A" w:rsidRPr="008E3A72" w:rsidRDefault="00EC7B94" w:rsidP="00F07465">
            <w:pPr>
              <w:spacing w:before="240"/>
              <w:jc w:val="both"/>
              <w:rPr>
                <w:rFonts w:ascii="Arial" w:hAnsi="Arial" w:cs="Arial"/>
                <w:sz w:val="20"/>
              </w:rPr>
            </w:pPr>
            <w:r w:rsidRPr="00C332C7">
              <w:rPr>
                <w:rFonts w:ascii="Arial" w:hAnsi="Arial" w:cs="Arial"/>
                <w:bCs/>
                <w:sz w:val="20"/>
              </w:rPr>
              <w:t xml:space="preserve">Podstawa prawna: </w:t>
            </w:r>
            <w:r w:rsidR="003B542C" w:rsidRPr="00C332C7">
              <w:rPr>
                <w:rFonts w:ascii="Arial" w:hAnsi="Arial" w:cs="Arial"/>
                <w:bCs/>
                <w:sz w:val="20"/>
              </w:rPr>
              <w:t>art.</w:t>
            </w:r>
            <w:r w:rsidR="00D20BE0" w:rsidRPr="00C332C7">
              <w:rPr>
                <w:rFonts w:ascii="Arial" w:hAnsi="Arial" w:cs="Arial"/>
                <w:bCs/>
                <w:sz w:val="20"/>
              </w:rPr>
              <w:t xml:space="preserve"> 56 ust. 1 </w:t>
            </w:r>
            <w:proofErr w:type="spellStart"/>
            <w:r w:rsidR="00D20BE0" w:rsidRPr="00C332C7">
              <w:rPr>
                <w:rFonts w:ascii="Arial" w:hAnsi="Arial" w:cs="Arial"/>
                <w:bCs/>
                <w:sz w:val="20"/>
              </w:rPr>
              <w:t>pkt</w:t>
            </w:r>
            <w:proofErr w:type="spellEnd"/>
            <w:r w:rsidR="00D20BE0" w:rsidRPr="00C332C7">
              <w:rPr>
                <w:rFonts w:ascii="Arial" w:hAnsi="Arial" w:cs="Arial"/>
                <w:bCs/>
                <w:sz w:val="20"/>
              </w:rPr>
              <w:t xml:space="preserve"> </w:t>
            </w:r>
            <w:r w:rsidR="00C332C7" w:rsidRPr="00C332C7">
              <w:rPr>
                <w:rFonts w:ascii="Arial" w:hAnsi="Arial" w:cs="Arial"/>
                <w:bCs/>
                <w:sz w:val="20"/>
              </w:rPr>
              <w:t>2</w:t>
            </w:r>
            <w:r w:rsidR="0006706A" w:rsidRPr="00C332C7">
              <w:rPr>
                <w:rFonts w:ascii="Arial" w:hAnsi="Arial" w:cs="Arial"/>
                <w:bCs/>
                <w:sz w:val="20"/>
              </w:rPr>
              <w:t> </w:t>
            </w:r>
            <w:r w:rsidR="00D20BE0" w:rsidRPr="00C332C7">
              <w:rPr>
                <w:rFonts w:ascii="Arial" w:hAnsi="Arial" w:cs="Arial"/>
                <w:sz w:val="20"/>
              </w:rPr>
              <w:t xml:space="preserve"> </w:t>
            </w:r>
            <w:r w:rsidRPr="00C332C7">
              <w:rPr>
                <w:rFonts w:ascii="Arial" w:hAnsi="Arial" w:cs="Arial"/>
                <w:sz w:val="20"/>
              </w:rPr>
              <w:t xml:space="preserve">ustawy </w:t>
            </w:r>
            <w:r w:rsidR="0006706A" w:rsidRPr="00C332C7">
              <w:rPr>
                <w:rFonts w:ascii="Arial" w:hAnsi="Arial" w:cs="Arial"/>
                <w:sz w:val="20"/>
              </w:rPr>
              <w:t xml:space="preserve">z dnia 29 lipca 2005 r.  </w:t>
            </w:r>
            <w:r w:rsidR="0006706A" w:rsidRPr="00C332C7">
              <w:rPr>
                <w:rFonts w:ascii="Arial" w:hAnsi="Arial" w:cs="Arial"/>
                <w:bCs/>
                <w:sz w:val="20"/>
              </w:rPr>
              <w:t>o ofercie publicznej i warunkach wprowadzania instrumentów finansowych do zorganizowanego systemu obrotu oraz o spółkach publicznych</w:t>
            </w:r>
          </w:p>
          <w:p w:rsidR="0006706A" w:rsidRPr="00C90EC1" w:rsidRDefault="0006706A" w:rsidP="00F07465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06706A" w:rsidRPr="00AF2262" w:rsidTr="00EC7B94">
        <w:trPr>
          <w:trHeight w:val="429"/>
        </w:trPr>
        <w:tc>
          <w:tcPr>
            <w:tcW w:w="9968" w:type="dxa"/>
            <w:gridSpan w:val="2"/>
            <w:tcBorders>
              <w:top w:val="single" w:sz="4" w:space="0" w:color="auto"/>
            </w:tcBorders>
          </w:tcPr>
          <w:p w:rsidR="0006706A" w:rsidRPr="00AF2262" w:rsidRDefault="0006706A" w:rsidP="00EC7B94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 xml:space="preserve">Podpis osoby </w:t>
            </w:r>
            <w:r w:rsidR="00EC7B94">
              <w:rPr>
                <w:rFonts w:ascii="Tahoma" w:hAnsi="Tahoma" w:cs="Tahoma"/>
                <w:sz w:val="20"/>
              </w:rPr>
              <w:t>reprezentującej Spółkę</w:t>
            </w:r>
            <w:r w:rsidRPr="00AF2262">
              <w:rPr>
                <w:rFonts w:ascii="Tahoma" w:hAnsi="Tahoma" w:cs="Tahoma"/>
                <w:sz w:val="20"/>
              </w:rPr>
              <w:t>:</w:t>
            </w:r>
          </w:p>
        </w:tc>
      </w:tr>
      <w:tr w:rsidR="0006706A" w:rsidRPr="00AF2262" w:rsidTr="00EC7B94">
        <w:trPr>
          <w:trHeight w:val="706"/>
        </w:trPr>
        <w:tc>
          <w:tcPr>
            <w:tcW w:w="9968" w:type="dxa"/>
            <w:gridSpan w:val="2"/>
          </w:tcPr>
          <w:p w:rsidR="0006706A" w:rsidRPr="00AF2262" w:rsidRDefault="0006706A" w:rsidP="00F07465">
            <w:pPr>
              <w:rPr>
                <w:rFonts w:ascii="Tahoma" w:hAnsi="Tahoma" w:cs="Tahoma"/>
                <w:b/>
                <w:sz w:val="20"/>
              </w:rPr>
            </w:pPr>
          </w:p>
          <w:p w:rsidR="0006706A" w:rsidRDefault="0006706A" w:rsidP="00F07465">
            <w:pPr>
              <w:rPr>
                <w:rFonts w:ascii="Tahoma" w:hAnsi="Tahoma" w:cs="Tahoma"/>
                <w:b/>
                <w:sz w:val="20"/>
              </w:rPr>
            </w:pPr>
          </w:p>
          <w:p w:rsidR="002A6E89" w:rsidRDefault="002A6E89" w:rsidP="00F07465">
            <w:pPr>
              <w:rPr>
                <w:rFonts w:ascii="Tahoma" w:hAnsi="Tahoma" w:cs="Tahoma"/>
                <w:b/>
                <w:sz w:val="20"/>
              </w:rPr>
            </w:pPr>
          </w:p>
          <w:p w:rsidR="0006706A" w:rsidRDefault="0006706A" w:rsidP="00F0746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</w:t>
            </w:r>
            <w:r w:rsidR="0037277F">
              <w:rPr>
                <w:rFonts w:ascii="Tahoma" w:hAnsi="Tahoma" w:cs="Tahoma"/>
                <w:b/>
                <w:sz w:val="20"/>
              </w:rPr>
              <w:t>Anna Olszowa</w:t>
            </w:r>
          </w:p>
          <w:p w:rsidR="0006706A" w:rsidRDefault="0006706A" w:rsidP="00F0746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</w:t>
            </w:r>
            <w:r w:rsidR="002A6E89">
              <w:rPr>
                <w:rFonts w:ascii="Tahoma" w:hAnsi="Tahoma" w:cs="Tahoma"/>
                <w:b/>
                <w:sz w:val="20"/>
              </w:rPr>
              <w:t xml:space="preserve">     </w:t>
            </w:r>
            <w:r w:rsidR="0037277F">
              <w:rPr>
                <w:rFonts w:ascii="Tahoma" w:hAnsi="Tahoma" w:cs="Tahoma"/>
                <w:b/>
                <w:sz w:val="20"/>
              </w:rPr>
              <w:t>Prokurent</w:t>
            </w:r>
            <w:r>
              <w:rPr>
                <w:rFonts w:ascii="Tahoma" w:hAnsi="Tahoma" w:cs="Tahoma"/>
                <w:b/>
                <w:sz w:val="20"/>
              </w:rPr>
              <w:t xml:space="preserve"> </w:t>
            </w:r>
          </w:p>
          <w:p w:rsidR="0006706A" w:rsidRPr="00AF2262" w:rsidRDefault="0006706A" w:rsidP="00F07465">
            <w:pPr>
              <w:rPr>
                <w:rFonts w:ascii="Tahoma" w:hAnsi="Tahoma" w:cs="Tahoma"/>
                <w:b/>
                <w:sz w:val="20"/>
              </w:rPr>
            </w:pPr>
          </w:p>
        </w:tc>
      </w:tr>
    </w:tbl>
    <w:p w:rsidR="00F81418" w:rsidRDefault="00F81418" w:rsidP="00F81418">
      <w:pPr>
        <w:spacing w:line="360" w:lineRule="auto"/>
        <w:jc w:val="both"/>
        <w:rPr>
          <w:rFonts w:ascii="Tahoma" w:hAnsi="Tahoma" w:cs="Tahoma"/>
          <w:b/>
          <w:sz w:val="20"/>
        </w:rPr>
      </w:pPr>
    </w:p>
    <w:sectPr w:rsidR="00F81418" w:rsidSect="007140B9">
      <w:footerReference w:type="default" r:id="rId7"/>
      <w:headerReference w:type="first" r:id="rId8"/>
      <w:footerReference w:type="first" r:id="rId9"/>
      <w:pgSz w:w="11906" w:h="16838" w:code="9"/>
      <w:pgMar w:top="1418" w:right="1162" w:bottom="1418" w:left="1162" w:header="510" w:footer="79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7BE8" w:rsidRDefault="00A17BE8">
      <w:r>
        <w:separator/>
      </w:r>
    </w:p>
  </w:endnote>
  <w:endnote w:type="continuationSeparator" w:id="0">
    <w:p w:rsidR="00A17BE8" w:rsidRDefault="00A17B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BE8" w:rsidRDefault="00A17BE8">
    <w:pPr>
      <w:pStyle w:val="Stopka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-422910</wp:posOffset>
          </wp:positionV>
          <wp:extent cx="6411595" cy="1169670"/>
          <wp:effectExtent l="19050" t="0" r="8255" b="0"/>
          <wp:wrapNone/>
          <wp:docPr id="5" name="Obraz 5" descr="stopka-kontynu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stopka-kontynuacj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1595" cy="1169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BE8" w:rsidRPr="00C64F4A" w:rsidRDefault="00A17BE8" w:rsidP="005355AA">
    <w:pPr>
      <w:pStyle w:val="Stopka"/>
      <w:jc w:val="both"/>
      <w:rPr>
        <w:sz w:val="20"/>
      </w:rPr>
    </w:pPr>
    <w:r>
      <w:rPr>
        <w:rFonts w:ascii="Tahoma" w:hAnsi="Tahoma" w:cs="Tahoma"/>
        <w:noProof/>
        <w:sz w:val="16"/>
        <w:szCs w:val="16"/>
      </w:rPr>
      <w:drawing>
        <wp:inline distT="0" distB="0" distL="0" distR="0">
          <wp:extent cx="6172200" cy="371475"/>
          <wp:effectExtent l="19050" t="0" r="0" b="0"/>
          <wp:docPr id="2" name="Obraz 2" descr="stopka z D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 z DG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4113" b="45964"/>
                  <a:stretch>
                    <a:fillRect/>
                  </a:stretch>
                </pic:blipFill>
                <pic:spPr bwMode="auto">
                  <a:xfrm>
                    <a:off x="0" y="0"/>
                    <a:ext cx="6172200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6A4B4B" w:rsidRPr="006A4B4B">
      <w:rPr>
        <w:noProof/>
        <w:sz w:val="8"/>
        <w:szCs w:val="16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.55pt;margin-top:4.35pt;width:479.1pt;height:41.5pt;z-index:251657216;mso-wrap-style:none;mso-position-horizontal-relative:text;mso-position-vertical-relative:text" filled="f" stroked="f">
          <v:textbox style="mso-next-textbox:#_x0000_s2052">
            <w:txbxContent>
              <w:p w:rsidR="00A17BE8" w:rsidRPr="005355AA" w:rsidRDefault="00A17BE8">
                <w:pPr>
                  <w:rPr>
                    <w:rFonts w:ascii="Tahoma" w:hAnsi="Tahoma" w:cs="Tahoma"/>
                    <w:sz w:val="16"/>
                    <w:szCs w:val="16"/>
                  </w:rPr>
                </w:pPr>
              </w:p>
              <w:p w:rsidR="00A17BE8" w:rsidRPr="005355AA" w:rsidRDefault="00A17BE8">
                <w:pPr>
                  <w:rPr>
                    <w:rFonts w:ascii="Tahoma" w:hAnsi="Tahoma" w:cs="Tahoma"/>
                    <w:sz w:val="16"/>
                    <w:szCs w:val="16"/>
                  </w:rPr>
                </w:pPr>
              </w:p>
            </w:txbxContent>
          </v:textbox>
        </v:shape>
      </w:pict>
    </w:r>
  </w:p>
  <w:p w:rsidR="00A17BE8" w:rsidRPr="00F96658" w:rsidRDefault="00A17BE8" w:rsidP="00EE3C7F">
    <w:pPr>
      <w:pStyle w:val="Stopka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w:drawing>
        <wp:inline distT="0" distB="0" distL="0" distR="0">
          <wp:extent cx="6076950" cy="971550"/>
          <wp:effectExtent l="1905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971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7BE8" w:rsidRDefault="00A17BE8">
      <w:r>
        <w:separator/>
      </w:r>
    </w:p>
  </w:footnote>
  <w:footnote w:type="continuationSeparator" w:id="0">
    <w:p w:rsidR="00A17BE8" w:rsidRDefault="00A17B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BE8" w:rsidRPr="00F96658" w:rsidRDefault="00A17BE8" w:rsidP="00F96658">
    <w:pPr>
      <w:pStyle w:val="Nagwek"/>
      <w:rPr>
        <w:rFonts w:ascii="Tahoma" w:hAnsi="Tahoma" w:cs="Tahoma"/>
        <w:sz w:val="16"/>
        <w:szCs w:val="18"/>
      </w:rPr>
    </w:pPr>
    <w:r>
      <w:rPr>
        <w:noProof/>
      </w:rPr>
      <w:drawing>
        <wp:inline distT="0" distB="0" distL="0" distR="0">
          <wp:extent cx="6086475" cy="1066800"/>
          <wp:effectExtent l="19050" t="0" r="9525" b="0"/>
          <wp:docPr id="1" name="Obraz 1" descr="dga+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ga+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21625"/>
                  <a:stretch>
                    <a:fillRect/>
                  </a:stretch>
                </pic:blipFill>
                <pic:spPr bwMode="auto">
                  <a:xfrm>
                    <a:off x="0" y="0"/>
                    <a:ext cx="6086475" cy="1066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17BE8" w:rsidRPr="00F96658" w:rsidRDefault="00A17BE8">
    <w:pPr>
      <w:pStyle w:val="Nagwek"/>
      <w:rPr>
        <w:rFonts w:ascii="Tahoma" w:hAnsi="Tahoma" w:cs="Tahoma"/>
        <w:sz w:val="20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34A2B"/>
    <w:rsid w:val="00044E15"/>
    <w:rsid w:val="00051A89"/>
    <w:rsid w:val="00051D87"/>
    <w:rsid w:val="00057F2F"/>
    <w:rsid w:val="0006706A"/>
    <w:rsid w:val="000B14B2"/>
    <w:rsid w:val="000B7EA0"/>
    <w:rsid w:val="000C14F5"/>
    <w:rsid w:val="000D13E7"/>
    <w:rsid w:val="000E135A"/>
    <w:rsid w:val="000E17DD"/>
    <w:rsid w:val="000F1307"/>
    <w:rsid w:val="00152C87"/>
    <w:rsid w:val="001614BF"/>
    <w:rsid w:val="001849EF"/>
    <w:rsid w:val="001967FC"/>
    <w:rsid w:val="001F01CC"/>
    <w:rsid w:val="00224A50"/>
    <w:rsid w:val="00236E3A"/>
    <w:rsid w:val="002436FA"/>
    <w:rsid w:val="0026350A"/>
    <w:rsid w:val="00271F64"/>
    <w:rsid w:val="002A6E89"/>
    <w:rsid w:val="00305B01"/>
    <w:rsid w:val="00314CAB"/>
    <w:rsid w:val="003363A5"/>
    <w:rsid w:val="00344F27"/>
    <w:rsid w:val="003451CB"/>
    <w:rsid w:val="003659F5"/>
    <w:rsid w:val="0037277F"/>
    <w:rsid w:val="003745FE"/>
    <w:rsid w:val="00394BFC"/>
    <w:rsid w:val="003A6A0A"/>
    <w:rsid w:val="003B542C"/>
    <w:rsid w:val="003C202F"/>
    <w:rsid w:val="004152B4"/>
    <w:rsid w:val="0041556C"/>
    <w:rsid w:val="00440028"/>
    <w:rsid w:val="004426BB"/>
    <w:rsid w:val="004610CC"/>
    <w:rsid w:val="00467DD2"/>
    <w:rsid w:val="004A1FC7"/>
    <w:rsid w:val="004C0763"/>
    <w:rsid w:val="00502E50"/>
    <w:rsid w:val="005355AA"/>
    <w:rsid w:val="0054662D"/>
    <w:rsid w:val="00556F21"/>
    <w:rsid w:val="0058495B"/>
    <w:rsid w:val="00586CFC"/>
    <w:rsid w:val="005F1E96"/>
    <w:rsid w:val="005F2DD0"/>
    <w:rsid w:val="0061150D"/>
    <w:rsid w:val="00624558"/>
    <w:rsid w:val="00625B6A"/>
    <w:rsid w:val="00655B6C"/>
    <w:rsid w:val="006666EE"/>
    <w:rsid w:val="00670E24"/>
    <w:rsid w:val="00681168"/>
    <w:rsid w:val="006A4B4B"/>
    <w:rsid w:val="006D7327"/>
    <w:rsid w:val="006E358F"/>
    <w:rsid w:val="006F009B"/>
    <w:rsid w:val="007140B9"/>
    <w:rsid w:val="007270D4"/>
    <w:rsid w:val="00763093"/>
    <w:rsid w:val="007B0EF4"/>
    <w:rsid w:val="007F5B69"/>
    <w:rsid w:val="00813B4D"/>
    <w:rsid w:val="00864177"/>
    <w:rsid w:val="00885F7A"/>
    <w:rsid w:val="008B6475"/>
    <w:rsid w:val="008C4BA4"/>
    <w:rsid w:val="008D1A31"/>
    <w:rsid w:val="008E6647"/>
    <w:rsid w:val="00917AE0"/>
    <w:rsid w:val="009652E2"/>
    <w:rsid w:val="009848B0"/>
    <w:rsid w:val="009921A3"/>
    <w:rsid w:val="009C59B1"/>
    <w:rsid w:val="009D2822"/>
    <w:rsid w:val="009F14F1"/>
    <w:rsid w:val="00A14A0C"/>
    <w:rsid w:val="00A17BE8"/>
    <w:rsid w:val="00A6694E"/>
    <w:rsid w:val="00A7112F"/>
    <w:rsid w:val="00A72A2C"/>
    <w:rsid w:val="00A739B3"/>
    <w:rsid w:val="00A91DD3"/>
    <w:rsid w:val="00A9685C"/>
    <w:rsid w:val="00AD0578"/>
    <w:rsid w:val="00AD3E54"/>
    <w:rsid w:val="00AF4EC0"/>
    <w:rsid w:val="00B22FD6"/>
    <w:rsid w:val="00B31D58"/>
    <w:rsid w:val="00B37C88"/>
    <w:rsid w:val="00B512D3"/>
    <w:rsid w:val="00B564EB"/>
    <w:rsid w:val="00B97A14"/>
    <w:rsid w:val="00BF1F7F"/>
    <w:rsid w:val="00BF2103"/>
    <w:rsid w:val="00BF2427"/>
    <w:rsid w:val="00BF4AA5"/>
    <w:rsid w:val="00BF78DA"/>
    <w:rsid w:val="00C047FB"/>
    <w:rsid w:val="00C134A1"/>
    <w:rsid w:val="00C332C7"/>
    <w:rsid w:val="00C456C6"/>
    <w:rsid w:val="00C64F4A"/>
    <w:rsid w:val="00C81CD9"/>
    <w:rsid w:val="00C92427"/>
    <w:rsid w:val="00CE6E7F"/>
    <w:rsid w:val="00CF5F1D"/>
    <w:rsid w:val="00D10EEE"/>
    <w:rsid w:val="00D20BE0"/>
    <w:rsid w:val="00D41ED7"/>
    <w:rsid w:val="00D610FE"/>
    <w:rsid w:val="00D9553C"/>
    <w:rsid w:val="00DB0DF4"/>
    <w:rsid w:val="00DB5BA8"/>
    <w:rsid w:val="00DB61E5"/>
    <w:rsid w:val="00DC382E"/>
    <w:rsid w:val="00DC6F7C"/>
    <w:rsid w:val="00DE66B7"/>
    <w:rsid w:val="00DF143A"/>
    <w:rsid w:val="00DF6E3B"/>
    <w:rsid w:val="00E6424B"/>
    <w:rsid w:val="00E75E3F"/>
    <w:rsid w:val="00E75F8F"/>
    <w:rsid w:val="00EA3395"/>
    <w:rsid w:val="00EC7B94"/>
    <w:rsid w:val="00EE3C7F"/>
    <w:rsid w:val="00F07465"/>
    <w:rsid w:val="00F22F9A"/>
    <w:rsid w:val="00F6191D"/>
    <w:rsid w:val="00F80B6B"/>
    <w:rsid w:val="00F81418"/>
    <w:rsid w:val="00F833B8"/>
    <w:rsid w:val="00F96658"/>
    <w:rsid w:val="00FA0CC3"/>
    <w:rsid w:val="00FA6596"/>
    <w:rsid w:val="00FA6C42"/>
    <w:rsid w:val="00FB5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uiPriority w:val="99"/>
    <w:unhideWhenUsed/>
    <w:rsid w:val="001967FC"/>
    <w:rPr>
      <w:color w:val="0000FF"/>
      <w:u w:val="single"/>
    </w:rPr>
  </w:style>
  <w:style w:type="character" w:styleId="Uwydatnienie">
    <w:name w:val="Emphasis"/>
    <w:basedOn w:val="Domylnaczcionkaakapitu"/>
    <w:uiPriority w:val="99"/>
    <w:qFormat/>
    <w:rsid w:val="009921A3"/>
    <w:rPr>
      <w:rFonts w:cs="Times New Roman"/>
      <w:i/>
      <w:iCs/>
    </w:rPr>
  </w:style>
  <w:style w:type="paragraph" w:styleId="Tekstdymka">
    <w:name w:val="Balloon Text"/>
    <w:basedOn w:val="Normalny"/>
    <w:link w:val="TekstdymkaZnak"/>
    <w:rsid w:val="00EA33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A33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2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listownik.dot</Template>
  <TotalTime>2</TotalTime>
  <Pages>1</Pages>
  <Words>276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Poznań, data</vt:lpstr>
    </vt:vector>
  </TitlesOfParts>
  <Company>Creative Force sp. z o. o.</Company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Poznań, data</dc:title>
  <dc:subject/>
  <dc:creator>Pracownik</dc:creator>
  <cp:keywords/>
  <dc:description/>
  <cp:lastModifiedBy>Jarzębski, Remigiusz</cp:lastModifiedBy>
  <cp:revision>2</cp:revision>
  <cp:lastPrinted>2010-08-19T12:18:00Z</cp:lastPrinted>
  <dcterms:created xsi:type="dcterms:W3CDTF">2010-08-19T14:06:00Z</dcterms:created>
  <dcterms:modified xsi:type="dcterms:W3CDTF">2010-08-19T14:06:00Z</dcterms:modified>
</cp:coreProperties>
</file>