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D3A" w:rsidRPr="00AF2262" w:rsidRDefault="004C5D3A" w:rsidP="004C5D3A">
      <w:pPr>
        <w:jc w:val="right"/>
        <w:rPr>
          <w:rFonts w:ascii="Tahoma" w:hAnsi="Tahoma"/>
          <w:sz w:val="22"/>
          <w:szCs w:val="22"/>
        </w:rPr>
      </w:pPr>
      <w:r w:rsidRPr="00AF2262">
        <w:rPr>
          <w:rFonts w:ascii="Tahoma" w:hAnsi="Tahoma"/>
          <w:sz w:val="22"/>
          <w:szCs w:val="22"/>
        </w:rPr>
        <w:t xml:space="preserve">Poznań,  </w:t>
      </w:r>
      <w:r w:rsidR="00186941">
        <w:rPr>
          <w:rFonts w:ascii="Tahoma" w:hAnsi="Tahoma"/>
          <w:sz w:val="22"/>
          <w:szCs w:val="22"/>
        </w:rPr>
        <w:t>dnia 15</w:t>
      </w:r>
      <w:r w:rsidR="00A5003E">
        <w:rPr>
          <w:rFonts w:ascii="Tahoma" w:hAnsi="Tahoma"/>
          <w:sz w:val="22"/>
          <w:szCs w:val="22"/>
        </w:rPr>
        <w:t>.10</w:t>
      </w:r>
      <w:r>
        <w:rPr>
          <w:rFonts w:ascii="Tahoma" w:hAnsi="Tahoma"/>
          <w:sz w:val="22"/>
          <w:szCs w:val="22"/>
        </w:rPr>
        <w:t>.2010 r.</w:t>
      </w:r>
    </w:p>
    <w:p w:rsidR="004C5D3A" w:rsidRPr="00AF2262" w:rsidRDefault="004C5D3A" w:rsidP="004C5D3A">
      <w:pPr>
        <w:jc w:val="right"/>
        <w:rPr>
          <w:rFonts w:ascii="Tahoma" w:hAnsi="Tahoma"/>
          <w:sz w:val="22"/>
          <w:szCs w:val="22"/>
        </w:rPr>
      </w:pPr>
    </w:p>
    <w:p w:rsidR="004C5D3A" w:rsidRPr="00AF2262" w:rsidRDefault="004C5D3A" w:rsidP="004C5D3A">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4C5D3A" w:rsidRPr="00AF2262" w:rsidTr="00120F2A">
        <w:trPr>
          <w:trHeight w:val="851"/>
        </w:trPr>
        <w:tc>
          <w:tcPr>
            <w:tcW w:w="1108" w:type="dxa"/>
          </w:tcPr>
          <w:p w:rsidR="004C5D3A" w:rsidRPr="00AF2262" w:rsidRDefault="004C5D3A" w:rsidP="00120F2A">
            <w:pPr>
              <w:rPr>
                <w:rFonts w:ascii="Tahoma" w:hAnsi="Tahoma" w:cs="Tahoma"/>
                <w:sz w:val="20"/>
              </w:rPr>
            </w:pPr>
            <w:r w:rsidRPr="00AF2262">
              <w:rPr>
                <w:rFonts w:ascii="Tahoma" w:hAnsi="Tahoma" w:cs="Tahoma"/>
                <w:sz w:val="20"/>
              </w:rPr>
              <w:t>Adresaci:</w:t>
            </w:r>
          </w:p>
        </w:tc>
        <w:tc>
          <w:tcPr>
            <w:tcW w:w="8540" w:type="dxa"/>
          </w:tcPr>
          <w:p w:rsidR="004C5D3A" w:rsidRPr="00AF2262" w:rsidRDefault="004C5D3A" w:rsidP="00120F2A">
            <w:pPr>
              <w:ind w:left="567" w:hanging="567"/>
              <w:rPr>
                <w:rFonts w:ascii="Tahoma" w:hAnsi="Tahoma"/>
                <w:noProof/>
                <w:sz w:val="20"/>
              </w:rPr>
            </w:pPr>
            <w:r w:rsidRPr="00AF2262">
              <w:rPr>
                <w:rFonts w:ascii="Tahoma" w:hAnsi="Tahoma"/>
                <w:noProof/>
                <w:sz w:val="20"/>
              </w:rPr>
              <w:t>Kancelaria Publiczna KNF</w:t>
            </w:r>
          </w:p>
          <w:p w:rsidR="004C5D3A" w:rsidRPr="00AF2262" w:rsidRDefault="004C5D3A" w:rsidP="00120F2A">
            <w:pPr>
              <w:ind w:left="567" w:hanging="567"/>
              <w:rPr>
                <w:rFonts w:ascii="Tahoma" w:hAnsi="Tahoma"/>
                <w:noProof/>
                <w:sz w:val="20"/>
              </w:rPr>
            </w:pPr>
            <w:r w:rsidRPr="00AF2262">
              <w:rPr>
                <w:rFonts w:ascii="Tahoma" w:hAnsi="Tahoma"/>
                <w:noProof/>
                <w:sz w:val="20"/>
              </w:rPr>
              <w:t>Dział Emitentów GPW</w:t>
            </w:r>
          </w:p>
          <w:p w:rsidR="004C5D3A" w:rsidRPr="00AF2262" w:rsidRDefault="004C5D3A" w:rsidP="00120F2A">
            <w:pPr>
              <w:ind w:left="567" w:hanging="567"/>
              <w:rPr>
                <w:rFonts w:ascii="Tahoma" w:hAnsi="Tahoma"/>
                <w:noProof/>
                <w:sz w:val="20"/>
              </w:rPr>
            </w:pPr>
            <w:r w:rsidRPr="00AF2262">
              <w:rPr>
                <w:rFonts w:ascii="Tahoma" w:hAnsi="Tahoma"/>
                <w:noProof/>
                <w:sz w:val="20"/>
              </w:rPr>
              <w:t>Dział Emitencki i Notowań PAP</w:t>
            </w:r>
          </w:p>
          <w:p w:rsidR="004C5D3A" w:rsidRPr="00AF2262" w:rsidRDefault="004C5D3A" w:rsidP="00120F2A">
            <w:pPr>
              <w:rPr>
                <w:rFonts w:ascii="Tahoma" w:hAnsi="Tahoma" w:cs="Tahoma"/>
                <w:sz w:val="20"/>
              </w:rPr>
            </w:pPr>
          </w:p>
        </w:tc>
      </w:tr>
      <w:tr w:rsidR="004C5D3A" w:rsidRPr="00AF2262" w:rsidTr="004C5D3A">
        <w:trPr>
          <w:trHeight w:val="592"/>
        </w:trPr>
        <w:tc>
          <w:tcPr>
            <w:tcW w:w="1108" w:type="dxa"/>
            <w:tcBorders>
              <w:top w:val="single" w:sz="4" w:space="0" w:color="auto"/>
              <w:bottom w:val="single" w:sz="4" w:space="0" w:color="auto"/>
            </w:tcBorders>
          </w:tcPr>
          <w:p w:rsidR="004C5D3A" w:rsidRPr="00AF2262" w:rsidRDefault="004C5D3A" w:rsidP="00120F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tcPr>
          <w:p w:rsidR="004C5D3A" w:rsidRPr="003F34CE" w:rsidRDefault="00A5003E" w:rsidP="00F81E21">
            <w:pPr>
              <w:rPr>
                <w:rFonts w:ascii="Tahoma" w:hAnsi="Tahoma" w:cs="Tahoma"/>
                <w:b/>
                <w:sz w:val="20"/>
              </w:rPr>
            </w:pPr>
            <w:r>
              <w:rPr>
                <w:rFonts w:ascii="Tahoma" w:hAnsi="Tahoma" w:cs="Tahoma"/>
                <w:b/>
                <w:sz w:val="20"/>
              </w:rPr>
              <w:t>Inwestycje kapitałowe DGA S.A.</w:t>
            </w:r>
          </w:p>
        </w:tc>
      </w:tr>
      <w:tr w:rsidR="004C5D3A" w:rsidRPr="00AF2262" w:rsidTr="00120F2A">
        <w:trPr>
          <w:trHeight w:val="424"/>
        </w:trPr>
        <w:tc>
          <w:tcPr>
            <w:tcW w:w="9648" w:type="dxa"/>
            <w:gridSpan w:val="2"/>
            <w:tcBorders>
              <w:top w:val="single" w:sz="4" w:space="0" w:color="auto"/>
            </w:tcBorders>
          </w:tcPr>
          <w:p w:rsidR="004C5D3A" w:rsidRPr="00AF2262" w:rsidRDefault="004C5D3A" w:rsidP="00A5003E">
            <w:pPr>
              <w:rPr>
                <w:rFonts w:ascii="Tahoma" w:hAnsi="Tahoma" w:cs="Tahoma"/>
                <w:b/>
                <w:sz w:val="20"/>
              </w:rPr>
            </w:pPr>
            <w:r w:rsidRPr="00AF2262">
              <w:rPr>
                <w:rFonts w:ascii="Tahoma" w:hAnsi="Tahoma" w:cs="Tahoma"/>
                <w:b/>
                <w:sz w:val="20"/>
              </w:rPr>
              <w:t xml:space="preserve">Raport bieżący nr </w:t>
            </w:r>
            <w:r w:rsidR="00120F2A">
              <w:rPr>
                <w:rFonts w:ascii="Tahoma" w:hAnsi="Tahoma" w:cs="Tahoma"/>
                <w:b/>
                <w:sz w:val="20"/>
              </w:rPr>
              <w:t>2</w:t>
            </w:r>
            <w:r w:rsidR="00F64E17">
              <w:rPr>
                <w:rFonts w:ascii="Tahoma" w:hAnsi="Tahoma" w:cs="Tahoma"/>
                <w:b/>
                <w:sz w:val="20"/>
              </w:rPr>
              <w:t>8</w:t>
            </w:r>
            <w:r>
              <w:rPr>
                <w:rFonts w:ascii="Tahoma" w:hAnsi="Tahoma" w:cs="Tahoma"/>
                <w:b/>
                <w:sz w:val="20"/>
              </w:rPr>
              <w:t>/2010</w:t>
            </w:r>
          </w:p>
        </w:tc>
      </w:tr>
      <w:tr w:rsidR="004C5D3A" w:rsidRPr="0053552F" w:rsidTr="00120F2A">
        <w:trPr>
          <w:trHeight w:val="524"/>
        </w:trPr>
        <w:tc>
          <w:tcPr>
            <w:tcW w:w="9648" w:type="dxa"/>
            <w:gridSpan w:val="2"/>
            <w:tcBorders>
              <w:bottom w:val="single" w:sz="4" w:space="0" w:color="auto"/>
            </w:tcBorders>
          </w:tcPr>
          <w:p w:rsidR="004C5D3A" w:rsidRDefault="00120F2A" w:rsidP="00706624">
            <w:pPr>
              <w:spacing w:after="120"/>
              <w:jc w:val="both"/>
              <w:rPr>
                <w:rFonts w:ascii="Tahoma" w:hAnsi="Tahoma" w:cs="Tahoma"/>
                <w:sz w:val="20"/>
              </w:rPr>
            </w:pPr>
            <w:r w:rsidRPr="00200091">
              <w:rPr>
                <w:rFonts w:ascii="Tahoma" w:hAnsi="Tahoma" w:cs="Tahoma"/>
                <w:sz w:val="20"/>
              </w:rPr>
              <w:t>Zarząd DGA S.A. (</w:t>
            </w:r>
            <w:r>
              <w:rPr>
                <w:rFonts w:ascii="Tahoma" w:hAnsi="Tahoma" w:cs="Tahoma"/>
                <w:sz w:val="20"/>
              </w:rPr>
              <w:t>„Spółka”</w:t>
            </w:r>
            <w:r w:rsidR="006C6783">
              <w:rPr>
                <w:rFonts w:ascii="Tahoma" w:hAnsi="Tahoma" w:cs="Tahoma"/>
                <w:sz w:val="20"/>
              </w:rPr>
              <w:t>) informuje, iż w dniach</w:t>
            </w:r>
            <w:r w:rsidRPr="00200091">
              <w:rPr>
                <w:rFonts w:ascii="Tahoma" w:hAnsi="Tahoma" w:cs="Tahoma"/>
                <w:sz w:val="20"/>
              </w:rPr>
              <w:t xml:space="preserve"> </w:t>
            </w:r>
            <w:r w:rsidR="006C6783">
              <w:rPr>
                <w:rFonts w:ascii="Tahoma" w:hAnsi="Tahoma" w:cs="Tahoma"/>
                <w:sz w:val="20"/>
              </w:rPr>
              <w:t>12-</w:t>
            </w:r>
            <w:r w:rsidR="00A5003E">
              <w:rPr>
                <w:rFonts w:ascii="Tahoma" w:hAnsi="Tahoma" w:cs="Tahoma"/>
                <w:sz w:val="20"/>
              </w:rPr>
              <w:t>14</w:t>
            </w:r>
            <w:r w:rsidR="00094A3E">
              <w:rPr>
                <w:rFonts w:ascii="Tahoma" w:hAnsi="Tahoma" w:cs="Tahoma"/>
                <w:sz w:val="20"/>
              </w:rPr>
              <w:t xml:space="preserve"> </w:t>
            </w:r>
            <w:r w:rsidR="00A5003E">
              <w:rPr>
                <w:rFonts w:ascii="Tahoma" w:hAnsi="Tahoma" w:cs="Tahoma"/>
                <w:sz w:val="20"/>
              </w:rPr>
              <w:t>października</w:t>
            </w:r>
            <w:r w:rsidRPr="00200091">
              <w:rPr>
                <w:rFonts w:ascii="Tahoma" w:hAnsi="Tahoma" w:cs="Tahoma"/>
                <w:sz w:val="20"/>
              </w:rPr>
              <w:t xml:space="preserve"> 2010 roku DGA </w:t>
            </w:r>
            <w:r>
              <w:rPr>
                <w:rFonts w:ascii="Tahoma" w:hAnsi="Tahoma" w:cs="Tahoma"/>
                <w:sz w:val="20"/>
              </w:rPr>
              <w:t xml:space="preserve">S.A. </w:t>
            </w:r>
            <w:r w:rsidR="00A5003E">
              <w:rPr>
                <w:rFonts w:ascii="Tahoma" w:hAnsi="Tahoma" w:cs="Tahoma"/>
                <w:sz w:val="20"/>
              </w:rPr>
              <w:t>sfinalizowała kolejne inwestycje kapitałowe, które są zgodne z</w:t>
            </w:r>
            <w:r w:rsidR="00706624">
              <w:rPr>
                <w:rFonts w:ascii="Tahoma" w:hAnsi="Tahoma" w:cs="Tahoma"/>
                <w:sz w:val="20"/>
              </w:rPr>
              <w:t>e</w:t>
            </w:r>
            <w:r w:rsidR="00A5003E">
              <w:rPr>
                <w:rFonts w:ascii="Tahoma" w:hAnsi="Tahoma" w:cs="Tahoma"/>
                <w:sz w:val="20"/>
              </w:rPr>
              <w:t xml:space="preserve"> strategią </w:t>
            </w:r>
            <w:r w:rsidR="00706624">
              <w:rPr>
                <w:rFonts w:ascii="Tahoma" w:hAnsi="Tahoma" w:cs="Tahoma"/>
                <w:sz w:val="20"/>
              </w:rPr>
              <w:t xml:space="preserve">spółki na lata 2010-2011. </w:t>
            </w:r>
          </w:p>
          <w:p w:rsidR="00706624" w:rsidRDefault="00706624" w:rsidP="00706624">
            <w:pPr>
              <w:spacing w:after="120"/>
              <w:jc w:val="both"/>
              <w:rPr>
                <w:rFonts w:ascii="Tahoma" w:hAnsi="Tahoma" w:cs="Tahoma"/>
                <w:sz w:val="20"/>
              </w:rPr>
            </w:pPr>
            <w:r>
              <w:rPr>
                <w:rFonts w:ascii="Tahoma" w:hAnsi="Tahoma" w:cs="Tahoma"/>
                <w:sz w:val="20"/>
              </w:rPr>
              <w:t>Poczynione inwestycje dotyczą:</w:t>
            </w:r>
          </w:p>
          <w:p w:rsidR="00706624" w:rsidRDefault="00706624" w:rsidP="00706624">
            <w:pPr>
              <w:spacing w:after="120"/>
              <w:jc w:val="both"/>
              <w:rPr>
                <w:rFonts w:ascii="Tahoma" w:hAnsi="Tahoma" w:cs="Tahoma"/>
                <w:sz w:val="20"/>
              </w:rPr>
            </w:pPr>
          </w:p>
          <w:p w:rsidR="00706624" w:rsidRDefault="00680EE5" w:rsidP="00706624">
            <w:pPr>
              <w:pStyle w:val="Akapitzlist"/>
              <w:numPr>
                <w:ilvl w:val="0"/>
                <w:numId w:val="6"/>
              </w:numPr>
              <w:spacing w:line="276" w:lineRule="auto"/>
              <w:jc w:val="both"/>
              <w:rPr>
                <w:rFonts w:ascii="Tahoma" w:hAnsi="Tahoma" w:cs="Tahoma"/>
                <w:sz w:val="20"/>
              </w:rPr>
            </w:pPr>
            <w:r>
              <w:rPr>
                <w:rFonts w:ascii="Tahoma" w:hAnsi="Tahoma" w:cs="Tahoma"/>
                <w:sz w:val="20"/>
              </w:rPr>
              <w:t>Przystąpienia</w:t>
            </w:r>
            <w:r w:rsidR="00706624">
              <w:rPr>
                <w:rFonts w:ascii="Tahoma" w:hAnsi="Tahoma" w:cs="Tahoma"/>
                <w:sz w:val="20"/>
              </w:rPr>
              <w:t xml:space="preserve"> do spółki </w:t>
            </w:r>
            <w:proofErr w:type="spellStart"/>
            <w:r w:rsidR="00706624">
              <w:rPr>
                <w:rFonts w:ascii="Tahoma" w:hAnsi="Tahoma" w:cs="Tahoma"/>
                <w:sz w:val="20"/>
              </w:rPr>
              <w:t>Allcards</w:t>
            </w:r>
            <w:proofErr w:type="spellEnd"/>
            <w:r w:rsidR="00706624">
              <w:rPr>
                <w:rFonts w:ascii="Tahoma" w:hAnsi="Tahoma" w:cs="Tahoma"/>
                <w:sz w:val="20"/>
              </w:rPr>
              <w:t xml:space="preserve"> Sp. z o.o. i objęcie przez DGA S.A. 80% udziałów w kapitale zakładowym spółki. </w:t>
            </w:r>
          </w:p>
          <w:p w:rsidR="00706624" w:rsidRDefault="00706624" w:rsidP="00706624">
            <w:pPr>
              <w:pStyle w:val="Akapitzlist"/>
              <w:jc w:val="both"/>
              <w:rPr>
                <w:rFonts w:ascii="Tahoma" w:hAnsi="Tahoma" w:cs="Tahoma"/>
                <w:sz w:val="20"/>
              </w:rPr>
            </w:pPr>
          </w:p>
          <w:p w:rsidR="00706624" w:rsidRPr="009532E4" w:rsidRDefault="00706624" w:rsidP="00706624">
            <w:pPr>
              <w:pStyle w:val="Akapitzlist"/>
              <w:spacing w:line="276" w:lineRule="auto"/>
              <w:jc w:val="both"/>
              <w:rPr>
                <w:rFonts w:ascii="Tahoma" w:hAnsi="Tahoma" w:cs="Tahoma"/>
                <w:sz w:val="20"/>
              </w:rPr>
            </w:pPr>
            <w:r w:rsidRPr="009532E4">
              <w:rPr>
                <w:rFonts w:ascii="Tahoma" w:hAnsi="Tahoma" w:cs="Tahoma"/>
                <w:sz w:val="20"/>
              </w:rPr>
              <w:t>Spółka</w:t>
            </w:r>
            <w:r w:rsidRPr="009532E4">
              <w:rPr>
                <w:rFonts w:ascii="Tahoma" w:hAnsi="Tahoma" w:cs="Tahoma"/>
                <w:b/>
                <w:sz w:val="20"/>
              </w:rPr>
              <w:t xml:space="preserve"> </w:t>
            </w:r>
            <w:proofErr w:type="spellStart"/>
            <w:r w:rsidRPr="009532E4">
              <w:rPr>
                <w:rFonts w:ascii="Tahoma" w:hAnsi="Tahoma" w:cs="Tahoma"/>
                <w:b/>
                <w:sz w:val="20"/>
              </w:rPr>
              <w:t>AllCards</w:t>
            </w:r>
            <w:proofErr w:type="spellEnd"/>
            <w:r w:rsidRPr="009532E4">
              <w:rPr>
                <w:rFonts w:ascii="Tahoma" w:hAnsi="Tahoma" w:cs="Tahoma"/>
                <w:sz w:val="20"/>
              </w:rPr>
              <w:t xml:space="preserve"> </w:t>
            </w:r>
            <w:r w:rsidR="00350670">
              <w:rPr>
                <w:rFonts w:ascii="Tahoma" w:hAnsi="Tahoma" w:cs="Tahoma"/>
                <w:sz w:val="20"/>
              </w:rPr>
              <w:t xml:space="preserve">uruchomiła usługę Centrali Kart Kredytowych – Pogotowie </w:t>
            </w:r>
            <w:proofErr w:type="spellStart"/>
            <w:r w:rsidR="00350670">
              <w:rPr>
                <w:rFonts w:ascii="Tahoma" w:hAnsi="Tahoma" w:cs="Tahoma"/>
                <w:sz w:val="20"/>
              </w:rPr>
              <w:t>Kartowe</w:t>
            </w:r>
            <w:proofErr w:type="spellEnd"/>
            <w:r w:rsidR="00800114">
              <w:rPr>
                <w:rFonts w:ascii="Tahoma" w:hAnsi="Tahoma" w:cs="Tahoma"/>
                <w:sz w:val="20"/>
              </w:rPr>
              <w:t xml:space="preserve"> (pod numerem telefonu 708 770 444)</w:t>
            </w:r>
            <w:r w:rsidR="00350670">
              <w:rPr>
                <w:rFonts w:ascii="Tahoma" w:hAnsi="Tahoma" w:cs="Tahoma"/>
                <w:sz w:val="20"/>
              </w:rPr>
              <w:t xml:space="preserve">, </w:t>
            </w:r>
            <w:r w:rsidR="00350670" w:rsidRPr="00350670">
              <w:rPr>
                <w:rFonts w:ascii="Tahoma" w:hAnsi="Tahoma" w:cs="Tahoma"/>
                <w:sz w:val="20"/>
              </w:rPr>
              <w:t xml:space="preserve">która pomaga w natychmiastowym skontaktowaniu się z wydawcą karty w przypadku jej utraty lub innych problemów z kartami płatniczymi. </w:t>
            </w:r>
            <w:r w:rsidR="00800114">
              <w:rPr>
                <w:rFonts w:ascii="Tahoma" w:hAnsi="Tahoma" w:cs="Tahoma"/>
                <w:sz w:val="20"/>
              </w:rPr>
              <w:t>Za tę usługę w</w:t>
            </w:r>
            <w:r w:rsidRPr="009532E4">
              <w:rPr>
                <w:rFonts w:ascii="Tahoma" w:hAnsi="Tahoma" w:cs="Tahoma"/>
                <w:sz w:val="20"/>
              </w:rPr>
              <w:t xml:space="preserve"> 2008 roku spółka </w:t>
            </w:r>
            <w:proofErr w:type="spellStart"/>
            <w:r w:rsidRPr="009532E4">
              <w:rPr>
                <w:rFonts w:ascii="Tahoma" w:hAnsi="Tahoma" w:cs="Tahoma"/>
                <w:sz w:val="20"/>
              </w:rPr>
              <w:t>AllCards</w:t>
            </w:r>
            <w:proofErr w:type="spellEnd"/>
            <w:r w:rsidRPr="009532E4">
              <w:rPr>
                <w:rFonts w:ascii="Tahoma" w:hAnsi="Tahoma" w:cs="Tahoma"/>
                <w:sz w:val="20"/>
              </w:rPr>
              <w:t xml:space="preserve"> otrzymała nagrodę Lidera Innowacji przyznawaną przez Fundację Innowacji i Rozwoju promującą przedsięwzięcia o charakterze innowacyjnym i rozwojowym. </w:t>
            </w:r>
          </w:p>
          <w:p w:rsidR="00905491" w:rsidRDefault="00905491" w:rsidP="00706624">
            <w:pPr>
              <w:pStyle w:val="Akapitzlist"/>
              <w:spacing w:line="276" w:lineRule="auto"/>
              <w:jc w:val="both"/>
              <w:rPr>
                <w:rFonts w:ascii="Tahoma" w:hAnsi="Tahoma" w:cs="Tahoma"/>
                <w:sz w:val="20"/>
              </w:rPr>
            </w:pPr>
          </w:p>
          <w:p w:rsidR="00706624" w:rsidRPr="009532E4" w:rsidRDefault="00905491" w:rsidP="00706624">
            <w:pPr>
              <w:pStyle w:val="Akapitzlist"/>
              <w:spacing w:line="276" w:lineRule="auto"/>
              <w:jc w:val="both"/>
              <w:rPr>
                <w:rFonts w:ascii="Tahoma" w:hAnsi="Tahoma" w:cs="Tahoma"/>
                <w:sz w:val="20"/>
              </w:rPr>
            </w:pPr>
            <w:r w:rsidRPr="00905491">
              <w:rPr>
                <w:rFonts w:ascii="Tahoma" w:hAnsi="Tahoma" w:cs="Tahoma"/>
                <w:sz w:val="20"/>
              </w:rPr>
              <w:t>Dodatkowo</w:t>
            </w:r>
            <w:r w:rsidR="00706624" w:rsidRPr="00905491">
              <w:rPr>
                <w:rFonts w:ascii="Tahoma" w:hAnsi="Tahoma" w:cs="Tahoma"/>
                <w:sz w:val="20"/>
              </w:rPr>
              <w:t xml:space="preserve"> </w:t>
            </w:r>
            <w:r w:rsidR="00706624" w:rsidRPr="009532E4">
              <w:rPr>
                <w:rFonts w:ascii="Tahoma" w:hAnsi="Tahoma" w:cs="Tahoma"/>
                <w:sz w:val="20"/>
              </w:rPr>
              <w:t xml:space="preserve">oferta spółki została poszerzona o portal dla ofiar kradzieży, włamań i innych zdarzeń rabunkowych -  </w:t>
            </w:r>
            <w:hyperlink r:id="rId8" w:history="1">
              <w:r w:rsidR="00706624" w:rsidRPr="009532E4">
                <w:rPr>
                  <w:rStyle w:val="Hipercze"/>
                  <w:rFonts w:ascii="Tahoma" w:hAnsi="Tahoma" w:cs="Tahoma"/>
                  <w:sz w:val="20"/>
                </w:rPr>
                <w:t>www.pomagamyokradzionym.pl</w:t>
              </w:r>
            </w:hyperlink>
            <w:r w:rsidR="00706624" w:rsidRPr="009532E4">
              <w:rPr>
                <w:rFonts w:ascii="Tahoma" w:hAnsi="Tahoma" w:cs="Tahoma"/>
                <w:sz w:val="20"/>
              </w:rPr>
              <w:t xml:space="preserve">. Portal skupia w jednym miejscu wszelkie informacje niezbędne w sytuacji utraty już nie tylko karty płatniczej, ale i dokumentów, karty SIM lub kradzieży samochodu. </w:t>
            </w:r>
          </w:p>
          <w:p w:rsidR="00905491" w:rsidRDefault="00905491" w:rsidP="00706624">
            <w:pPr>
              <w:pStyle w:val="Akapitzlist"/>
              <w:spacing w:line="276" w:lineRule="auto"/>
              <w:jc w:val="both"/>
              <w:rPr>
                <w:rFonts w:ascii="Tahoma" w:hAnsi="Tahoma" w:cs="Tahoma"/>
                <w:sz w:val="20"/>
              </w:rPr>
            </w:pPr>
          </w:p>
          <w:p w:rsidR="00706624" w:rsidRPr="009532E4" w:rsidRDefault="00706624" w:rsidP="00706624">
            <w:pPr>
              <w:pStyle w:val="Akapitzlist"/>
              <w:spacing w:line="276" w:lineRule="auto"/>
              <w:jc w:val="both"/>
              <w:rPr>
                <w:rFonts w:ascii="Tahoma" w:hAnsi="Tahoma" w:cs="Tahoma"/>
                <w:sz w:val="20"/>
              </w:rPr>
            </w:pPr>
            <w:r w:rsidRPr="009532E4">
              <w:rPr>
                <w:rFonts w:ascii="Tahoma" w:hAnsi="Tahoma" w:cs="Tahoma"/>
                <w:sz w:val="20"/>
              </w:rPr>
              <w:t xml:space="preserve">Portal pomagamyokradzionym.pl jest rozbudowywany o nowe funkcjonalności, takie jak baza miejsc niebezpiecznych ostrzegająca przed lokalizacjami o wzmożonej aktywności rabunkowej. Ponadto, w najbliższym czasie planowane jest uruchomienie Telefonicznego Centrum Informacji specjalizującego się w udzielaniu informacji kierowcom i podróżnym. </w:t>
            </w:r>
          </w:p>
          <w:p w:rsidR="00706624" w:rsidRDefault="00706624" w:rsidP="00706624">
            <w:pPr>
              <w:pStyle w:val="Akapitzlist"/>
              <w:jc w:val="both"/>
              <w:rPr>
                <w:rFonts w:ascii="Tahoma" w:hAnsi="Tahoma" w:cs="Tahoma"/>
                <w:sz w:val="20"/>
              </w:rPr>
            </w:pPr>
          </w:p>
          <w:p w:rsidR="00706624" w:rsidRDefault="00706624" w:rsidP="00706624">
            <w:pPr>
              <w:pStyle w:val="Akapitzlist"/>
              <w:jc w:val="both"/>
              <w:rPr>
                <w:rFonts w:ascii="Tahoma" w:hAnsi="Tahoma" w:cs="Tahoma"/>
                <w:sz w:val="20"/>
              </w:rPr>
            </w:pPr>
          </w:p>
          <w:p w:rsidR="00706624" w:rsidRDefault="00905491" w:rsidP="00706624">
            <w:pPr>
              <w:pStyle w:val="Akapitzlist"/>
              <w:numPr>
                <w:ilvl w:val="0"/>
                <w:numId w:val="6"/>
              </w:numPr>
              <w:spacing w:line="276" w:lineRule="auto"/>
              <w:jc w:val="both"/>
              <w:rPr>
                <w:rFonts w:ascii="Tahoma" w:hAnsi="Tahoma" w:cs="Tahoma"/>
                <w:sz w:val="20"/>
              </w:rPr>
            </w:pPr>
            <w:r>
              <w:rPr>
                <w:rFonts w:ascii="Tahoma" w:hAnsi="Tahoma" w:cs="Tahoma"/>
                <w:sz w:val="20"/>
              </w:rPr>
              <w:t>Objęcia</w:t>
            </w:r>
            <w:r w:rsidR="00706624">
              <w:rPr>
                <w:rFonts w:ascii="Tahoma" w:hAnsi="Tahoma" w:cs="Tahoma"/>
                <w:sz w:val="20"/>
              </w:rPr>
              <w:t xml:space="preserve"> 100% udziałów w kapitale zakładowym DGA Fast Deal Sp. z o.o. </w:t>
            </w:r>
            <w:r w:rsidR="00186941">
              <w:rPr>
                <w:rFonts w:ascii="Tahoma" w:hAnsi="Tahoma" w:cs="Tahoma"/>
                <w:sz w:val="20"/>
              </w:rPr>
              <w:t>Przed tą transakcją</w:t>
            </w:r>
            <w:r w:rsidR="00706624">
              <w:rPr>
                <w:rFonts w:ascii="Tahoma" w:hAnsi="Tahoma" w:cs="Tahoma"/>
                <w:sz w:val="20"/>
              </w:rPr>
              <w:t xml:space="preserve"> DGA S.A. </w:t>
            </w:r>
            <w:r w:rsidR="00186941">
              <w:rPr>
                <w:rFonts w:ascii="Tahoma" w:hAnsi="Tahoma" w:cs="Tahoma"/>
                <w:sz w:val="20"/>
              </w:rPr>
              <w:t>było</w:t>
            </w:r>
            <w:r w:rsidR="00706624">
              <w:rPr>
                <w:rFonts w:ascii="Tahoma" w:hAnsi="Tahoma" w:cs="Tahoma"/>
                <w:sz w:val="20"/>
              </w:rPr>
              <w:t xml:space="preserve"> w posiadaniu 50% udziałów w kapitale zakładowym. Biorąc pod uwagę bardzo dobre perspektywy rozwoju spółki, DGA S.A postanowiło odkupić pozostałą część udziałów od obecnych udziałowców i w całości kontrolować rozwój projektu. </w:t>
            </w:r>
          </w:p>
          <w:p w:rsidR="00706624" w:rsidRDefault="00706624" w:rsidP="00706624">
            <w:pPr>
              <w:pStyle w:val="Akapitzlist"/>
              <w:jc w:val="both"/>
              <w:rPr>
                <w:rFonts w:ascii="Tahoma" w:hAnsi="Tahoma" w:cs="Tahoma"/>
                <w:sz w:val="20"/>
              </w:rPr>
            </w:pPr>
          </w:p>
          <w:p w:rsidR="00706624" w:rsidRDefault="00706624" w:rsidP="00706624">
            <w:pPr>
              <w:pStyle w:val="Akapitzlist"/>
              <w:jc w:val="both"/>
              <w:rPr>
                <w:rFonts w:ascii="Tahoma" w:hAnsi="Tahoma" w:cs="Tahoma"/>
                <w:sz w:val="20"/>
              </w:rPr>
            </w:pPr>
            <w:r>
              <w:rPr>
                <w:rFonts w:ascii="Tahoma" w:hAnsi="Tahoma" w:cs="Tahoma"/>
                <w:sz w:val="20"/>
              </w:rPr>
              <w:lastRenderedPageBreak/>
              <w:t xml:space="preserve">Platforma </w:t>
            </w:r>
            <w:r w:rsidRPr="00BC59A6">
              <w:rPr>
                <w:rFonts w:ascii="Tahoma" w:hAnsi="Tahoma" w:cs="Tahoma"/>
                <w:sz w:val="20"/>
              </w:rPr>
              <w:t>FastDeal.pl, reprezentujący pierwszy w Polsce serwis nowej kategorii</w:t>
            </w:r>
            <w:r w:rsidR="00436230">
              <w:rPr>
                <w:rFonts w:ascii="Tahoma" w:hAnsi="Tahoma" w:cs="Tahoma"/>
                <w:sz w:val="20"/>
              </w:rPr>
              <w:t xml:space="preserve"> tzw. Live </w:t>
            </w:r>
            <w:proofErr w:type="spellStart"/>
            <w:r w:rsidR="00436230">
              <w:rPr>
                <w:rFonts w:ascii="Tahoma" w:hAnsi="Tahoma" w:cs="Tahoma"/>
                <w:sz w:val="20"/>
              </w:rPr>
              <w:t>Shoppings</w:t>
            </w:r>
            <w:proofErr w:type="spellEnd"/>
            <w:r w:rsidRPr="00BC59A6">
              <w:rPr>
                <w:rFonts w:ascii="Tahoma" w:hAnsi="Tahoma" w:cs="Tahoma"/>
                <w:sz w:val="20"/>
              </w:rPr>
              <w:t xml:space="preserve"> zapewnia użytkownikom Internetu dostęp do wysokich rabatów na ciekawe oferty usług (vouchery) w swoich miastach (rabaty od 50%), oferując jednocześnie usługodawcom nowe i wysoce efektywne narzędzie do zwiększania zysków. Usługodawcy zdecydowani na współpracę z serwisem otrzymują do dyspozycji innowacyjne narzędzie marketingu i sprzedaży w zamian za udzielenie rabatu na konkretną usługę, którą chcą promować. FastDeal.pl czerpie korzyści ze sprzedanych voucherów, co motywuje do maksymalizowania działań marketingowo-sprzedażowych celem osiągnięcia wyniku zgodnego z zasadą „win win”.</w:t>
            </w:r>
          </w:p>
          <w:p w:rsidR="00706624" w:rsidRDefault="00706624" w:rsidP="00706624">
            <w:pPr>
              <w:pStyle w:val="Akapitzlist"/>
              <w:jc w:val="both"/>
              <w:rPr>
                <w:rFonts w:ascii="Tahoma" w:hAnsi="Tahoma" w:cs="Tahoma"/>
                <w:sz w:val="20"/>
              </w:rPr>
            </w:pPr>
          </w:p>
          <w:p w:rsidR="00706624" w:rsidRDefault="00706624" w:rsidP="00706624">
            <w:pPr>
              <w:pStyle w:val="Akapitzlist"/>
              <w:numPr>
                <w:ilvl w:val="0"/>
                <w:numId w:val="6"/>
              </w:numPr>
              <w:spacing w:line="276" w:lineRule="auto"/>
              <w:jc w:val="both"/>
              <w:rPr>
                <w:rFonts w:ascii="Tahoma" w:hAnsi="Tahoma" w:cs="Tahoma"/>
                <w:sz w:val="20"/>
              </w:rPr>
            </w:pPr>
            <w:r>
              <w:rPr>
                <w:rFonts w:ascii="Tahoma" w:hAnsi="Tahoma" w:cs="Tahoma"/>
                <w:sz w:val="20"/>
              </w:rPr>
              <w:t xml:space="preserve">Powołanie spółki DGA </w:t>
            </w:r>
            <w:proofErr w:type="spellStart"/>
            <w:r>
              <w:rPr>
                <w:rFonts w:ascii="Tahoma" w:hAnsi="Tahoma" w:cs="Tahoma"/>
                <w:sz w:val="20"/>
              </w:rPr>
              <w:t>Amber</w:t>
            </w:r>
            <w:proofErr w:type="spellEnd"/>
            <w:r>
              <w:rPr>
                <w:rFonts w:ascii="Tahoma" w:hAnsi="Tahoma" w:cs="Tahoma"/>
                <w:sz w:val="20"/>
              </w:rPr>
              <w:t xml:space="preserve"> Sp. z o.o. i objęcie przez DGA S.A. 50% udziałów w kapitale zakładowym.</w:t>
            </w:r>
          </w:p>
          <w:p w:rsidR="00706624" w:rsidRDefault="00706624" w:rsidP="00706624">
            <w:pPr>
              <w:jc w:val="both"/>
              <w:rPr>
                <w:rFonts w:ascii="Tahoma" w:hAnsi="Tahoma" w:cs="Tahoma"/>
                <w:sz w:val="20"/>
              </w:rPr>
            </w:pPr>
          </w:p>
          <w:p w:rsidR="00706624" w:rsidRPr="00F4790A" w:rsidRDefault="00706624" w:rsidP="00706624">
            <w:pPr>
              <w:spacing w:after="200" w:line="276" w:lineRule="auto"/>
              <w:ind w:left="709"/>
              <w:jc w:val="both"/>
              <w:rPr>
                <w:rFonts w:ascii="Tahoma" w:hAnsi="Tahoma" w:cs="Tahoma"/>
                <w:sz w:val="20"/>
              </w:rPr>
            </w:pPr>
            <w:r w:rsidRPr="00921730">
              <w:rPr>
                <w:rFonts w:ascii="Tahoma" w:hAnsi="Tahoma" w:cs="Tahoma"/>
                <w:sz w:val="20"/>
              </w:rPr>
              <w:t xml:space="preserve">Spółka </w:t>
            </w:r>
            <w:r w:rsidRPr="00F4790A">
              <w:rPr>
                <w:rFonts w:ascii="Tahoma" w:hAnsi="Tahoma" w:cs="Tahoma"/>
                <w:b/>
                <w:sz w:val="20"/>
              </w:rPr>
              <w:t xml:space="preserve">DGA </w:t>
            </w:r>
            <w:proofErr w:type="spellStart"/>
            <w:r w:rsidRPr="00F4790A">
              <w:rPr>
                <w:rFonts w:ascii="Tahoma" w:hAnsi="Tahoma" w:cs="Tahoma"/>
                <w:b/>
                <w:sz w:val="20"/>
              </w:rPr>
              <w:t>Amber</w:t>
            </w:r>
            <w:proofErr w:type="spellEnd"/>
            <w:r w:rsidRPr="00F4790A">
              <w:rPr>
                <w:rFonts w:ascii="Tahoma" w:hAnsi="Tahoma" w:cs="Tahoma"/>
                <w:sz w:val="20"/>
              </w:rPr>
              <w:t xml:space="preserve"> oferować </w:t>
            </w:r>
            <w:r>
              <w:rPr>
                <w:rFonts w:ascii="Tahoma" w:hAnsi="Tahoma" w:cs="Tahoma"/>
                <w:sz w:val="20"/>
              </w:rPr>
              <w:t xml:space="preserve">będzie </w:t>
            </w:r>
            <w:r w:rsidRPr="00F4790A">
              <w:rPr>
                <w:rFonts w:ascii="Tahoma" w:hAnsi="Tahoma" w:cs="Tahoma"/>
                <w:sz w:val="20"/>
              </w:rPr>
              <w:t xml:space="preserve">usługi konsultingowe w zakresie optymalizacji kosztów energii elektrycznej. Usługi te skierowane są przede wszystkim do administracji publicznej oraz innych dużych odbiorców końcowych – firm sieciowych czy też dużych firm przemysłowych. </w:t>
            </w:r>
          </w:p>
          <w:p w:rsidR="00706624" w:rsidRPr="00F4790A" w:rsidRDefault="00706624" w:rsidP="00706624">
            <w:pPr>
              <w:spacing w:after="200" w:line="276" w:lineRule="auto"/>
              <w:ind w:left="709"/>
              <w:jc w:val="both"/>
              <w:rPr>
                <w:rFonts w:ascii="Tahoma" w:hAnsi="Tahoma" w:cs="Tahoma"/>
                <w:sz w:val="20"/>
              </w:rPr>
            </w:pPr>
            <w:r w:rsidRPr="00F4790A">
              <w:rPr>
                <w:rFonts w:ascii="Tahoma" w:hAnsi="Tahoma" w:cs="Tahoma"/>
                <w:sz w:val="20"/>
              </w:rPr>
              <w:t xml:space="preserve">Usługi spółki będą się skupiały na działaniach prowadzących do zmniejszenia kosztów energii elektrycznej poprzez optymalizację struktury taryf, obniżenie cen zakupu energii elektrycznej przy wykorzystaniu procedury przetargowej, jak również modernizację układów pomiarowych czy też audyty energetyczne. DGA </w:t>
            </w:r>
            <w:proofErr w:type="spellStart"/>
            <w:r w:rsidRPr="00F4790A">
              <w:rPr>
                <w:rFonts w:ascii="Tahoma" w:hAnsi="Tahoma" w:cs="Tahoma"/>
                <w:sz w:val="20"/>
              </w:rPr>
              <w:t>Amber</w:t>
            </w:r>
            <w:proofErr w:type="spellEnd"/>
            <w:r w:rsidRPr="00F4790A">
              <w:rPr>
                <w:rFonts w:ascii="Tahoma" w:hAnsi="Tahoma" w:cs="Tahoma"/>
                <w:sz w:val="20"/>
              </w:rPr>
              <w:t xml:space="preserve"> będzie się ubiegać o pierwszy flagowy projekt związany z zaopatrzeniem w energię elektryczną dla administracji publicznej biorąc udział w przetargu ogłoszonym przez Urząd Miasta Poznania.</w:t>
            </w:r>
          </w:p>
          <w:p w:rsidR="00706624" w:rsidRPr="00F4790A" w:rsidRDefault="00706624" w:rsidP="00706624">
            <w:pPr>
              <w:spacing w:after="200" w:line="276" w:lineRule="auto"/>
              <w:ind w:left="709"/>
              <w:jc w:val="both"/>
              <w:rPr>
                <w:rFonts w:ascii="Tahoma" w:hAnsi="Tahoma" w:cs="Tahoma"/>
                <w:sz w:val="20"/>
              </w:rPr>
            </w:pPr>
            <w:r w:rsidRPr="00F4790A">
              <w:rPr>
                <w:rFonts w:ascii="Tahoma" w:hAnsi="Tahoma" w:cs="Tahoma"/>
                <w:sz w:val="20"/>
              </w:rPr>
              <w:t xml:space="preserve">Pomysł na tego typu działalność pojawił się w związku z liberalizacją rynku energii w Polsce i wprowadzeniem zasady TPA (Third Party Access) umożliwiającej odbiorcy końcowemu swobodny wybór dostawcy energii przy jednoczesnym korzystaniu z sieci energetycznej przedsiębiorstwa sieciowego. Efektem tych zmian jest coraz większa konkurencyjność cen na rynku energii elektrycznej oraz wprowadzanie zmian w strukturze taryf czy w warunkach handlowych. O ile sektor prywatny z dużą łatwością korzysta z możliwości, jakie daje zasada TPA, sektor publiczny napotyka na wiele utrudnień związanych z rozbudowaną strukturą własności punktów poboru. Ten stan rzeczy daje ogromne możliwości doradcy, który będzie w stanie przeprowadzić największe jednostki administracji publicznej przez skomplikowany, długotrwały i pracochłonny proces optymalizacji kosztów zakupu energii elektrycznej. </w:t>
            </w:r>
          </w:p>
          <w:p w:rsidR="00706624" w:rsidRDefault="00706624" w:rsidP="00097370">
            <w:pPr>
              <w:spacing w:after="120"/>
              <w:jc w:val="both"/>
              <w:rPr>
                <w:rFonts w:ascii="Tahoma" w:hAnsi="Tahoma" w:cs="Tahoma"/>
                <w:sz w:val="20"/>
              </w:rPr>
            </w:pPr>
          </w:p>
          <w:p w:rsidR="00097370" w:rsidRPr="00097370" w:rsidRDefault="00097370" w:rsidP="00097370">
            <w:pPr>
              <w:spacing w:after="120"/>
              <w:jc w:val="both"/>
              <w:rPr>
                <w:rFonts w:ascii="Tahoma" w:hAnsi="Tahoma" w:cs="Tahoma"/>
                <w:sz w:val="20"/>
              </w:rPr>
            </w:pPr>
            <w:r>
              <w:rPr>
                <w:rFonts w:ascii="Tahoma" w:hAnsi="Tahoma" w:cs="Tahoma"/>
                <w:sz w:val="20"/>
              </w:rPr>
              <w:t>Powyższe przedsięwzięcia mają na celu konsekwentną realizację celów strategii spółki DGA S.A. na lata 2010-2011, które wpływać mają na rozwój i wzrost wartości Grupy Kapitałowej DGA S.A.</w:t>
            </w:r>
          </w:p>
        </w:tc>
      </w:tr>
      <w:tr w:rsidR="004C5D3A" w:rsidRPr="00AF2262" w:rsidTr="00120F2A">
        <w:trPr>
          <w:trHeight w:val="419"/>
        </w:trPr>
        <w:tc>
          <w:tcPr>
            <w:tcW w:w="9648" w:type="dxa"/>
            <w:gridSpan w:val="2"/>
            <w:tcBorders>
              <w:top w:val="single" w:sz="4" w:space="0" w:color="auto"/>
            </w:tcBorders>
          </w:tcPr>
          <w:p w:rsidR="004C5D3A" w:rsidRPr="00AF2262" w:rsidRDefault="004C5D3A" w:rsidP="00120F2A">
            <w:pPr>
              <w:rPr>
                <w:rFonts w:ascii="Tahoma" w:hAnsi="Tahoma" w:cs="Tahoma"/>
                <w:sz w:val="20"/>
              </w:rPr>
            </w:pPr>
            <w:r w:rsidRPr="00AF2262">
              <w:rPr>
                <w:rFonts w:ascii="Tahoma" w:hAnsi="Tahoma" w:cs="Tahoma"/>
                <w:sz w:val="20"/>
              </w:rPr>
              <w:lastRenderedPageBreak/>
              <w:t>Podstawa prawna:</w:t>
            </w:r>
          </w:p>
        </w:tc>
      </w:tr>
      <w:tr w:rsidR="004C5D3A" w:rsidRPr="00AF2262" w:rsidTr="00120F2A">
        <w:trPr>
          <w:trHeight w:val="421"/>
        </w:trPr>
        <w:tc>
          <w:tcPr>
            <w:tcW w:w="9648" w:type="dxa"/>
            <w:gridSpan w:val="2"/>
            <w:tcBorders>
              <w:bottom w:val="single" w:sz="4" w:space="0" w:color="auto"/>
            </w:tcBorders>
          </w:tcPr>
          <w:p w:rsidR="004C5D3A" w:rsidRPr="007F1C0C" w:rsidRDefault="004C5D3A" w:rsidP="00417225">
            <w:pPr>
              <w:autoSpaceDE w:val="0"/>
              <w:autoSpaceDN w:val="0"/>
              <w:adjustRightInd w:val="0"/>
              <w:rPr>
                <w:rFonts w:ascii="Tahoma" w:hAnsi="Tahoma" w:cs="Tahoma"/>
                <w:sz w:val="20"/>
              </w:rPr>
            </w:pPr>
            <w:r w:rsidRPr="007F1C0C">
              <w:rPr>
                <w:rFonts w:ascii="Tahoma" w:hAnsi="Tahoma" w:cs="Tahoma"/>
                <w:sz w:val="20"/>
              </w:rPr>
              <w:t xml:space="preserve">artykuł 56 ust. 1 </w:t>
            </w:r>
            <w:proofErr w:type="spellStart"/>
            <w:r w:rsidRPr="007F1C0C">
              <w:rPr>
                <w:rFonts w:ascii="Tahoma" w:hAnsi="Tahoma" w:cs="Tahoma"/>
                <w:sz w:val="20"/>
              </w:rPr>
              <w:t>pkt</w:t>
            </w:r>
            <w:proofErr w:type="spellEnd"/>
            <w:r w:rsidRPr="007F1C0C">
              <w:rPr>
                <w:rFonts w:ascii="Tahoma" w:hAnsi="Tahoma" w:cs="Tahoma"/>
                <w:sz w:val="20"/>
              </w:rPr>
              <w:t xml:space="preserve"> 2 ustawy o ofercie</w:t>
            </w:r>
            <w:r w:rsidR="007F1C0C" w:rsidRPr="007F1C0C">
              <w:rPr>
                <w:rFonts w:ascii="Tahoma" w:hAnsi="Tahoma" w:cs="Tahoma"/>
                <w:sz w:val="20"/>
              </w:rPr>
              <w:t xml:space="preserve"> </w:t>
            </w:r>
          </w:p>
        </w:tc>
      </w:tr>
      <w:tr w:rsidR="004C5D3A" w:rsidRPr="00AF2262" w:rsidTr="00120F2A">
        <w:trPr>
          <w:trHeight w:val="347"/>
        </w:trPr>
        <w:tc>
          <w:tcPr>
            <w:tcW w:w="9648" w:type="dxa"/>
            <w:gridSpan w:val="2"/>
            <w:tcBorders>
              <w:top w:val="single" w:sz="4" w:space="0" w:color="auto"/>
            </w:tcBorders>
          </w:tcPr>
          <w:p w:rsidR="004C5D3A" w:rsidRPr="00AF2262" w:rsidRDefault="004C5D3A" w:rsidP="00120F2A">
            <w:pPr>
              <w:rPr>
                <w:rFonts w:ascii="Tahoma" w:hAnsi="Tahoma" w:cs="Tahoma"/>
                <w:sz w:val="20"/>
              </w:rPr>
            </w:pPr>
            <w:r w:rsidRPr="00AF2262">
              <w:rPr>
                <w:rFonts w:ascii="Tahoma" w:hAnsi="Tahoma" w:cs="Tahoma"/>
                <w:sz w:val="20"/>
              </w:rPr>
              <w:t>Podpis osoby upoważnionej do reprezentowania Emitenta:</w:t>
            </w:r>
          </w:p>
        </w:tc>
      </w:tr>
      <w:tr w:rsidR="004C5D3A" w:rsidRPr="00AF2262" w:rsidTr="00120F2A">
        <w:trPr>
          <w:trHeight w:val="706"/>
        </w:trPr>
        <w:tc>
          <w:tcPr>
            <w:tcW w:w="9648" w:type="dxa"/>
            <w:gridSpan w:val="2"/>
          </w:tcPr>
          <w:p w:rsidR="004C5D3A" w:rsidRPr="00AF2262" w:rsidRDefault="004C5D3A" w:rsidP="00120F2A">
            <w:pPr>
              <w:rPr>
                <w:rFonts w:ascii="Tahoma" w:hAnsi="Tahoma" w:cs="Tahoma"/>
                <w:b/>
                <w:sz w:val="20"/>
              </w:rPr>
            </w:pPr>
          </w:p>
          <w:p w:rsidR="004C5D3A" w:rsidRPr="00AF2262" w:rsidRDefault="004C5D3A" w:rsidP="00120F2A">
            <w:pPr>
              <w:rPr>
                <w:rFonts w:ascii="Tahoma" w:hAnsi="Tahoma" w:cs="Tahoma"/>
                <w:b/>
                <w:sz w:val="20"/>
              </w:rPr>
            </w:pPr>
            <w:r w:rsidRPr="00AF2262">
              <w:rPr>
                <w:rFonts w:ascii="Tahoma" w:hAnsi="Tahoma" w:cs="Tahoma"/>
                <w:b/>
                <w:sz w:val="20"/>
              </w:rPr>
              <w:tab/>
            </w:r>
            <w:r w:rsidR="00E92CD0">
              <w:rPr>
                <w:rFonts w:ascii="Tahoma" w:hAnsi="Tahoma" w:cs="Tahoma"/>
                <w:b/>
                <w:sz w:val="20"/>
              </w:rPr>
              <w:t>Andrzej Głowacki</w:t>
            </w:r>
          </w:p>
          <w:p w:rsidR="004C5D3A" w:rsidRPr="00AF2262" w:rsidRDefault="004C5D3A" w:rsidP="00120F2A">
            <w:pPr>
              <w:rPr>
                <w:rFonts w:ascii="Tahoma" w:hAnsi="Tahoma" w:cs="Tahoma"/>
                <w:b/>
                <w:sz w:val="20"/>
              </w:rPr>
            </w:pPr>
          </w:p>
          <w:p w:rsidR="004C5D3A" w:rsidRPr="00AF2262" w:rsidRDefault="004C5D3A" w:rsidP="00120F2A">
            <w:pPr>
              <w:rPr>
                <w:rFonts w:ascii="Tahoma" w:hAnsi="Tahoma" w:cs="Tahoma"/>
                <w:b/>
                <w:sz w:val="20"/>
              </w:rPr>
            </w:pPr>
            <w:r w:rsidRPr="00AF2262">
              <w:rPr>
                <w:rFonts w:ascii="Tahoma" w:hAnsi="Tahoma" w:cs="Tahoma"/>
                <w:b/>
                <w:sz w:val="20"/>
              </w:rPr>
              <w:tab/>
            </w:r>
            <w:r w:rsidR="00E92CD0">
              <w:rPr>
                <w:rFonts w:ascii="Tahoma" w:hAnsi="Tahoma" w:cs="Tahoma"/>
                <w:b/>
                <w:sz w:val="20"/>
              </w:rPr>
              <w:t>Prezes</w:t>
            </w:r>
            <w:r>
              <w:rPr>
                <w:rFonts w:ascii="Tahoma" w:hAnsi="Tahoma" w:cs="Tahoma"/>
                <w:b/>
                <w:sz w:val="20"/>
              </w:rPr>
              <w:t xml:space="preserve"> Zarządu</w:t>
            </w:r>
          </w:p>
        </w:tc>
      </w:tr>
    </w:tbl>
    <w:p w:rsidR="00AF4EC0" w:rsidRPr="004C5D3A" w:rsidRDefault="00AF4EC0" w:rsidP="004C5D3A"/>
    <w:sectPr w:rsidR="00AF4EC0" w:rsidRPr="004C5D3A" w:rsidSect="007140B9">
      <w:footerReference w:type="default" r:id="rId9"/>
      <w:headerReference w:type="first" r:id="rId10"/>
      <w:footerReference w:type="first" r:id="rId11"/>
      <w:pgSz w:w="11906" w:h="16838" w:code="9"/>
      <w:pgMar w:top="1418" w:right="1162" w:bottom="1418" w:left="1162" w:header="510"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370" w:rsidRDefault="00097370">
      <w:r>
        <w:separator/>
      </w:r>
    </w:p>
  </w:endnote>
  <w:endnote w:type="continuationSeparator" w:id="0">
    <w:p w:rsidR="00097370" w:rsidRDefault="000973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370" w:rsidRDefault="00097370">
    <w:pPr>
      <w:pStyle w:val="Stopka"/>
    </w:pPr>
    <w:r>
      <w:rPr>
        <w:noProof/>
      </w:rPr>
      <w:drawing>
        <wp:anchor distT="0" distB="0" distL="114300" distR="114300" simplePos="0" relativeHeight="251657728" behindDoc="0" locked="0" layoutInCell="1" allowOverlap="1">
          <wp:simplePos x="0" y="0"/>
          <wp:positionH relativeFrom="column">
            <wp:posOffset>-114300</wp:posOffset>
          </wp:positionH>
          <wp:positionV relativeFrom="paragraph">
            <wp:posOffset>-422910</wp:posOffset>
          </wp:positionV>
          <wp:extent cx="6411595" cy="1169670"/>
          <wp:effectExtent l="19050" t="0" r="8255" b="0"/>
          <wp:wrapNone/>
          <wp:docPr id="5" name="Obraz 5" descr="stopka-kontynu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pka-kontynuacja"/>
                  <pic:cNvPicPr>
                    <a:picLocks noChangeAspect="1" noChangeArrowheads="1"/>
                  </pic:cNvPicPr>
                </pic:nvPicPr>
                <pic:blipFill>
                  <a:blip r:embed="rId1"/>
                  <a:srcRect/>
                  <a:stretch>
                    <a:fillRect/>
                  </a:stretch>
                </pic:blipFill>
                <pic:spPr bwMode="auto">
                  <a:xfrm>
                    <a:off x="0" y="0"/>
                    <a:ext cx="6411595" cy="1169670"/>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370" w:rsidRPr="00C64F4A" w:rsidRDefault="00097370" w:rsidP="005355AA">
    <w:pPr>
      <w:pStyle w:val="Stopka"/>
      <w:jc w:val="both"/>
      <w:rPr>
        <w:sz w:val="20"/>
      </w:rPr>
    </w:pPr>
  </w:p>
  <w:p w:rsidR="00097370" w:rsidRPr="00F96658" w:rsidRDefault="00097370" w:rsidP="00EE3C7F">
    <w:pPr>
      <w:pStyle w:val="Stopka"/>
      <w:jc w:val="center"/>
      <w:rPr>
        <w:rFonts w:ascii="Tahoma" w:hAnsi="Tahoma" w:cs="Tahoma"/>
        <w:sz w:val="16"/>
        <w:szCs w:val="16"/>
      </w:rPr>
    </w:pPr>
    <w:r>
      <w:rPr>
        <w:noProof/>
        <w:sz w:val="20"/>
      </w:rPr>
      <w:drawing>
        <wp:inline distT="0" distB="0" distL="0" distR="0">
          <wp:extent cx="5791200" cy="1371600"/>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91200" cy="13716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370" w:rsidRDefault="00097370">
      <w:r>
        <w:separator/>
      </w:r>
    </w:p>
  </w:footnote>
  <w:footnote w:type="continuationSeparator" w:id="0">
    <w:p w:rsidR="00097370" w:rsidRDefault="000973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370" w:rsidRPr="00F96658" w:rsidRDefault="00097370" w:rsidP="00F96658">
    <w:pPr>
      <w:pStyle w:val="Nagwek"/>
      <w:rPr>
        <w:rFonts w:ascii="Tahoma" w:hAnsi="Tahoma" w:cs="Tahoma"/>
        <w:sz w:val="16"/>
        <w:szCs w:val="18"/>
      </w:rPr>
    </w:pPr>
  </w:p>
  <w:p w:rsidR="00097370" w:rsidRPr="00F96658" w:rsidRDefault="00097370">
    <w:pPr>
      <w:pStyle w:val="Nagwek"/>
      <w:rPr>
        <w:rFonts w:ascii="Tahoma" w:hAnsi="Tahoma" w:cs="Tahoma"/>
        <w:sz w:val="20"/>
        <w:szCs w:val="16"/>
      </w:rPr>
    </w:pPr>
    <w:r>
      <w:rPr>
        <w:rFonts w:ascii="Tahoma" w:hAnsi="Tahoma" w:cs="Tahoma"/>
        <w:noProof/>
        <w:sz w:val="16"/>
        <w:szCs w:val="18"/>
      </w:rPr>
      <w:drawing>
        <wp:inline distT="0" distB="0" distL="0" distR="0">
          <wp:extent cx="1800225" cy="1219200"/>
          <wp:effectExtent l="19050" t="0" r="9525" b="0"/>
          <wp:docPr id="1" name="Obraz 1" descr="logo_DGA_2010_male_s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DGA_2010_male_sRGB"/>
                  <pic:cNvPicPr>
                    <a:picLocks noChangeAspect="1" noChangeArrowheads="1"/>
                  </pic:cNvPicPr>
                </pic:nvPicPr>
                <pic:blipFill>
                  <a:blip r:embed="rId1"/>
                  <a:srcRect/>
                  <a:stretch>
                    <a:fillRect/>
                  </a:stretch>
                </pic:blipFill>
                <pic:spPr bwMode="auto">
                  <a:xfrm>
                    <a:off x="0" y="0"/>
                    <a:ext cx="1800225" cy="12192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D56AB"/>
    <w:multiLevelType w:val="hybridMultilevel"/>
    <w:tmpl w:val="DA5EEEB0"/>
    <w:lvl w:ilvl="0" w:tplc="407EAF14">
      <w:start w:val="1"/>
      <w:numFmt w:val="decimal"/>
      <w:lvlText w:val="%1."/>
      <w:lvlJc w:val="left"/>
      <w:pPr>
        <w:tabs>
          <w:tab w:val="num" w:pos="720"/>
        </w:tabs>
        <w:ind w:left="720" w:hanging="360"/>
      </w:pPr>
      <w:rPr>
        <w:rFonts w:hint="default"/>
        <w:b w:val="0"/>
        <w:i w:val="0"/>
      </w:rPr>
    </w:lvl>
    <w:lvl w:ilvl="1" w:tplc="614AD09E">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BE415A4"/>
    <w:multiLevelType w:val="hybridMultilevel"/>
    <w:tmpl w:val="EF5EAB6E"/>
    <w:lvl w:ilvl="0" w:tplc="117AFB30">
      <w:start w:val="1"/>
      <w:numFmt w:val="decimal"/>
      <w:lvlText w:val="%1."/>
      <w:lvlJc w:val="left"/>
      <w:pPr>
        <w:ind w:left="720" w:hanging="360"/>
      </w:pPr>
      <w:rPr>
        <w:rFonts w:ascii="Tahoma" w:hAnsi="Tahom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2C90720"/>
    <w:multiLevelType w:val="hybridMultilevel"/>
    <w:tmpl w:val="54247C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708788C"/>
    <w:multiLevelType w:val="hybridMultilevel"/>
    <w:tmpl w:val="CFC8C8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1614BF"/>
    <w:rsid w:val="00017CFE"/>
    <w:rsid w:val="00044E15"/>
    <w:rsid w:val="00094A3E"/>
    <w:rsid w:val="00097370"/>
    <w:rsid w:val="000B7EA0"/>
    <w:rsid w:val="000C14F5"/>
    <w:rsid w:val="000E135A"/>
    <w:rsid w:val="000F1307"/>
    <w:rsid w:val="001030E6"/>
    <w:rsid w:val="00120F2A"/>
    <w:rsid w:val="00151C3A"/>
    <w:rsid w:val="00152C87"/>
    <w:rsid w:val="001614BF"/>
    <w:rsid w:val="0017168E"/>
    <w:rsid w:val="001849EF"/>
    <w:rsid w:val="00186941"/>
    <w:rsid w:val="001F01CC"/>
    <w:rsid w:val="0022266B"/>
    <w:rsid w:val="00227034"/>
    <w:rsid w:val="002436FA"/>
    <w:rsid w:val="0026350A"/>
    <w:rsid w:val="00271F64"/>
    <w:rsid w:val="002B209D"/>
    <w:rsid w:val="00305B01"/>
    <w:rsid w:val="00314CAB"/>
    <w:rsid w:val="003363A5"/>
    <w:rsid w:val="00350670"/>
    <w:rsid w:val="0035431C"/>
    <w:rsid w:val="003659F5"/>
    <w:rsid w:val="0038424B"/>
    <w:rsid w:val="003A6A0A"/>
    <w:rsid w:val="003C202F"/>
    <w:rsid w:val="004152B4"/>
    <w:rsid w:val="00417225"/>
    <w:rsid w:val="00436230"/>
    <w:rsid w:val="00440028"/>
    <w:rsid w:val="004426BB"/>
    <w:rsid w:val="004C0763"/>
    <w:rsid w:val="004C3376"/>
    <w:rsid w:val="004C5D3A"/>
    <w:rsid w:val="00502E50"/>
    <w:rsid w:val="005355AA"/>
    <w:rsid w:val="0054662D"/>
    <w:rsid w:val="005F2DD0"/>
    <w:rsid w:val="0061150D"/>
    <w:rsid w:val="00625B6A"/>
    <w:rsid w:val="00655B6C"/>
    <w:rsid w:val="006666EE"/>
    <w:rsid w:val="00670E24"/>
    <w:rsid w:val="00680EE5"/>
    <w:rsid w:val="00682D36"/>
    <w:rsid w:val="006B62C7"/>
    <w:rsid w:val="006C6783"/>
    <w:rsid w:val="00706624"/>
    <w:rsid w:val="007140B9"/>
    <w:rsid w:val="0072101E"/>
    <w:rsid w:val="00734D18"/>
    <w:rsid w:val="007553CC"/>
    <w:rsid w:val="007F1C0C"/>
    <w:rsid w:val="00800114"/>
    <w:rsid w:val="00813B4D"/>
    <w:rsid w:val="008C4BA4"/>
    <w:rsid w:val="008D1A31"/>
    <w:rsid w:val="008D5848"/>
    <w:rsid w:val="008E6647"/>
    <w:rsid w:val="00905491"/>
    <w:rsid w:val="00917AE0"/>
    <w:rsid w:val="009C59B1"/>
    <w:rsid w:val="009F14F1"/>
    <w:rsid w:val="00A14A0C"/>
    <w:rsid w:val="00A356A7"/>
    <w:rsid w:val="00A5003E"/>
    <w:rsid w:val="00A6694E"/>
    <w:rsid w:val="00A9685C"/>
    <w:rsid w:val="00AD0578"/>
    <w:rsid w:val="00AD2258"/>
    <w:rsid w:val="00AD3E54"/>
    <w:rsid w:val="00AF4EC0"/>
    <w:rsid w:val="00B07760"/>
    <w:rsid w:val="00B1220C"/>
    <w:rsid w:val="00B22FD6"/>
    <w:rsid w:val="00B31D58"/>
    <w:rsid w:val="00B37C88"/>
    <w:rsid w:val="00B50963"/>
    <w:rsid w:val="00B777A6"/>
    <w:rsid w:val="00BF0205"/>
    <w:rsid w:val="00BF1F7F"/>
    <w:rsid w:val="00BF2103"/>
    <w:rsid w:val="00BF2427"/>
    <w:rsid w:val="00BF78DA"/>
    <w:rsid w:val="00C047FB"/>
    <w:rsid w:val="00C134A1"/>
    <w:rsid w:val="00C44417"/>
    <w:rsid w:val="00C456C6"/>
    <w:rsid w:val="00C64F4A"/>
    <w:rsid w:val="00C92427"/>
    <w:rsid w:val="00CE6E7F"/>
    <w:rsid w:val="00D41ED7"/>
    <w:rsid w:val="00D610FE"/>
    <w:rsid w:val="00D9553C"/>
    <w:rsid w:val="00DB0DF4"/>
    <w:rsid w:val="00DB5BA8"/>
    <w:rsid w:val="00DC382E"/>
    <w:rsid w:val="00DF6E3B"/>
    <w:rsid w:val="00E012DC"/>
    <w:rsid w:val="00E247F0"/>
    <w:rsid w:val="00E75F8F"/>
    <w:rsid w:val="00E92CD0"/>
    <w:rsid w:val="00EA2FDE"/>
    <w:rsid w:val="00EE3C7F"/>
    <w:rsid w:val="00F0787A"/>
    <w:rsid w:val="00F210A7"/>
    <w:rsid w:val="00F22F9A"/>
    <w:rsid w:val="00F5123A"/>
    <w:rsid w:val="00F64E17"/>
    <w:rsid w:val="00F80B6B"/>
    <w:rsid w:val="00F81E21"/>
    <w:rsid w:val="00F833B8"/>
    <w:rsid w:val="00F96658"/>
    <w:rsid w:val="00FA0CC3"/>
    <w:rsid w:val="00FA6596"/>
    <w:rsid w:val="00FA6C42"/>
    <w:rsid w:val="00FB51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paragraph" w:styleId="Tekstdymka">
    <w:name w:val="Balloon Text"/>
    <w:basedOn w:val="Normalny"/>
    <w:link w:val="TekstdymkaZnak"/>
    <w:rsid w:val="00120F2A"/>
    <w:rPr>
      <w:rFonts w:ascii="Tahoma" w:hAnsi="Tahoma" w:cs="Tahoma"/>
      <w:sz w:val="16"/>
      <w:szCs w:val="16"/>
    </w:rPr>
  </w:style>
  <w:style w:type="character" w:customStyle="1" w:styleId="TekstdymkaZnak">
    <w:name w:val="Tekst dymka Znak"/>
    <w:basedOn w:val="Domylnaczcionkaakapitu"/>
    <w:link w:val="Tekstdymka"/>
    <w:rsid w:val="00120F2A"/>
    <w:rPr>
      <w:rFonts w:ascii="Tahoma" w:hAnsi="Tahoma" w:cs="Tahoma"/>
      <w:sz w:val="16"/>
      <w:szCs w:val="16"/>
    </w:rPr>
  </w:style>
  <w:style w:type="paragraph" w:styleId="Tekstpodstawowy">
    <w:name w:val="Body Text"/>
    <w:basedOn w:val="Normalny"/>
    <w:link w:val="TekstpodstawowyZnak"/>
    <w:uiPriority w:val="99"/>
    <w:rsid w:val="00120F2A"/>
    <w:pPr>
      <w:jc w:val="center"/>
    </w:pPr>
    <w:rPr>
      <w:rFonts w:ascii="Arial" w:hAnsi="Arial" w:cs="Arial"/>
      <w:sz w:val="22"/>
      <w:szCs w:val="22"/>
    </w:rPr>
  </w:style>
  <w:style w:type="character" w:customStyle="1" w:styleId="TekstpodstawowyZnak">
    <w:name w:val="Tekst podstawowy Znak"/>
    <w:basedOn w:val="Domylnaczcionkaakapitu"/>
    <w:link w:val="Tekstpodstawowy"/>
    <w:uiPriority w:val="99"/>
    <w:rsid w:val="00120F2A"/>
    <w:rPr>
      <w:rFonts w:ascii="Arial" w:hAnsi="Arial" w:cs="Arial"/>
      <w:sz w:val="22"/>
      <w:szCs w:val="22"/>
    </w:rPr>
  </w:style>
  <w:style w:type="paragraph" w:styleId="Akapitzlist">
    <w:name w:val="List Paragraph"/>
    <w:basedOn w:val="Normalny"/>
    <w:uiPriority w:val="34"/>
    <w:qFormat/>
    <w:rsid w:val="00706624"/>
    <w:pPr>
      <w:ind w:left="720"/>
      <w:contextualSpacing/>
    </w:pPr>
  </w:style>
  <w:style w:type="character" w:styleId="Hipercze">
    <w:name w:val="Hyperlink"/>
    <w:basedOn w:val="Domylnaczcionkaakapitu"/>
    <w:rsid w:val="00706624"/>
    <w:rPr>
      <w:color w:val="0000FF"/>
      <w:u w:val="single"/>
    </w:rPr>
  </w:style>
  <w:style w:type="character" w:styleId="UyteHipercze">
    <w:name w:val="FollowedHyperlink"/>
    <w:basedOn w:val="Domylnaczcionkaakapitu"/>
    <w:rsid w:val="00F5123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magamyokradziony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223FC-37A3-4860-896C-F652E4C69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nowy wzór listownik</Template>
  <TotalTime>2</TotalTime>
  <Pages>2</Pages>
  <Words>622</Words>
  <Characters>4142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Poznań, data</vt:lpstr>
    </vt:vector>
  </TitlesOfParts>
  <Company>Creative Force sp. z o. o.</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data</dc:title>
  <dc:subject/>
  <dc:creator>Pracownik</dc:creator>
  <cp:keywords/>
  <dc:description/>
  <cp:lastModifiedBy>Piechowiak, Błażej</cp:lastModifiedBy>
  <cp:revision>4</cp:revision>
  <cp:lastPrinted>2010-09-20T13:26:00Z</cp:lastPrinted>
  <dcterms:created xsi:type="dcterms:W3CDTF">2010-10-13T10:38:00Z</dcterms:created>
  <dcterms:modified xsi:type="dcterms:W3CDTF">2010-10-15T06:10:00Z</dcterms:modified>
</cp:coreProperties>
</file>