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57F" w:rsidRPr="00AF2262" w:rsidRDefault="00EC757F" w:rsidP="004C5D3A">
      <w:pPr>
        <w:jc w:val="right"/>
        <w:rPr>
          <w:rFonts w:ascii="Tahoma" w:hAnsi="Tahoma"/>
          <w:sz w:val="22"/>
          <w:szCs w:val="22"/>
        </w:rPr>
      </w:pPr>
      <w:r w:rsidRPr="00AF2262">
        <w:rPr>
          <w:rFonts w:ascii="Tahoma" w:hAnsi="Tahoma"/>
          <w:sz w:val="22"/>
          <w:szCs w:val="22"/>
        </w:rPr>
        <w:t xml:space="preserve">Poznań,  </w:t>
      </w:r>
      <w:r>
        <w:rPr>
          <w:rFonts w:ascii="Tahoma" w:hAnsi="Tahoma"/>
          <w:sz w:val="22"/>
          <w:szCs w:val="22"/>
        </w:rPr>
        <w:t>dnia 8.03.2011 r.</w:t>
      </w:r>
    </w:p>
    <w:p w:rsidR="00EC757F" w:rsidRPr="00AF2262" w:rsidRDefault="00EC757F" w:rsidP="004C5D3A">
      <w:pPr>
        <w:jc w:val="right"/>
        <w:rPr>
          <w:rFonts w:ascii="Tahoma" w:hAnsi="Tahoma"/>
          <w:sz w:val="22"/>
          <w:szCs w:val="22"/>
        </w:rPr>
      </w:pPr>
    </w:p>
    <w:p w:rsidR="00EC757F" w:rsidRPr="00AF2262" w:rsidRDefault="00EC757F" w:rsidP="004C5D3A">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EC757F" w:rsidRPr="00AF2262" w:rsidTr="00120F2A">
        <w:trPr>
          <w:trHeight w:val="851"/>
        </w:trPr>
        <w:tc>
          <w:tcPr>
            <w:tcW w:w="1108" w:type="dxa"/>
          </w:tcPr>
          <w:p w:rsidR="00EC757F" w:rsidRPr="00AF2262" w:rsidRDefault="00EC757F" w:rsidP="00120F2A">
            <w:pPr>
              <w:rPr>
                <w:rFonts w:ascii="Tahoma" w:hAnsi="Tahoma" w:cs="Tahoma"/>
                <w:sz w:val="20"/>
              </w:rPr>
            </w:pPr>
            <w:r w:rsidRPr="00AF2262">
              <w:rPr>
                <w:rFonts w:ascii="Tahoma" w:hAnsi="Tahoma" w:cs="Tahoma"/>
                <w:sz w:val="20"/>
              </w:rPr>
              <w:t>Adresaci:</w:t>
            </w:r>
          </w:p>
        </w:tc>
        <w:tc>
          <w:tcPr>
            <w:tcW w:w="8540" w:type="dxa"/>
          </w:tcPr>
          <w:p w:rsidR="00EC757F" w:rsidRPr="00AF2262" w:rsidRDefault="00EC757F" w:rsidP="00120F2A">
            <w:pPr>
              <w:ind w:left="567" w:hanging="567"/>
              <w:rPr>
                <w:rFonts w:ascii="Tahoma" w:hAnsi="Tahoma"/>
                <w:noProof/>
                <w:sz w:val="20"/>
              </w:rPr>
            </w:pPr>
            <w:r w:rsidRPr="00AF2262">
              <w:rPr>
                <w:rFonts w:ascii="Tahoma" w:hAnsi="Tahoma"/>
                <w:noProof/>
                <w:sz w:val="20"/>
              </w:rPr>
              <w:t>Kancelaria Publiczna KNF</w:t>
            </w:r>
          </w:p>
          <w:p w:rsidR="00EC757F" w:rsidRPr="00AF2262" w:rsidRDefault="00EC757F" w:rsidP="00120F2A">
            <w:pPr>
              <w:ind w:left="567" w:hanging="567"/>
              <w:rPr>
                <w:rFonts w:ascii="Tahoma" w:hAnsi="Tahoma"/>
                <w:noProof/>
                <w:sz w:val="20"/>
              </w:rPr>
            </w:pPr>
            <w:r w:rsidRPr="00AF2262">
              <w:rPr>
                <w:rFonts w:ascii="Tahoma" w:hAnsi="Tahoma"/>
                <w:noProof/>
                <w:sz w:val="20"/>
              </w:rPr>
              <w:t>Dział Emitentów GPW</w:t>
            </w:r>
          </w:p>
          <w:p w:rsidR="00EC757F" w:rsidRPr="00AF2262" w:rsidRDefault="00EC757F" w:rsidP="00120F2A">
            <w:pPr>
              <w:ind w:left="567" w:hanging="567"/>
              <w:rPr>
                <w:rFonts w:ascii="Tahoma" w:hAnsi="Tahoma"/>
                <w:noProof/>
                <w:sz w:val="20"/>
              </w:rPr>
            </w:pPr>
            <w:r w:rsidRPr="00AF2262">
              <w:rPr>
                <w:rFonts w:ascii="Tahoma" w:hAnsi="Tahoma"/>
                <w:noProof/>
                <w:sz w:val="20"/>
              </w:rPr>
              <w:t>Dział Emitencki i Notowań PAP</w:t>
            </w:r>
          </w:p>
          <w:p w:rsidR="00EC757F" w:rsidRPr="00AF2262" w:rsidRDefault="00EC757F" w:rsidP="00120F2A">
            <w:pPr>
              <w:rPr>
                <w:rFonts w:ascii="Tahoma" w:hAnsi="Tahoma" w:cs="Tahoma"/>
                <w:sz w:val="20"/>
              </w:rPr>
            </w:pPr>
          </w:p>
        </w:tc>
      </w:tr>
      <w:tr w:rsidR="00EC757F" w:rsidRPr="00AF2262" w:rsidTr="00BD25FC">
        <w:trPr>
          <w:trHeight w:val="592"/>
        </w:trPr>
        <w:tc>
          <w:tcPr>
            <w:tcW w:w="1108" w:type="dxa"/>
            <w:vAlign w:val="center"/>
          </w:tcPr>
          <w:p w:rsidR="00EC757F" w:rsidRPr="00AF2262" w:rsidRDefault="00EC757F" w:rsidP="00BD25FC">
            <w:pPr>
              <w:rPr>
                <w:rFonts w:ascii="Tahoma" w:hAnsi="Tahoma" w:cs="Tahoma"/>
                <w:sz w:val="20"/>
              </w:rPr>
            </w:pPr>
            <w:r w:rsidRPr="00AF2262">
              <w:rPr>
                <w:rFonts w:ascii="Tahoma" w:hAnsi="Tahoma" w:cs="Tahoma"/>
                <w:sz w:val="20"/>
              </w:rPr>
              <w:t>Tytuł:</w:t>
            </w:r>
          </w:p>
        </w:tc>
        <w:tc>
          <w:tcPr>
            <w:tcW w:w="8540" w:type="dxa"/>
            <w:vAlign w:val="center"/>
          </w:tcPr>
          <w:p w:rsidR="00EC757F" w:rsidRPr="003F34CE" w:rsidRDefault="00EC757F" w:rsidP="00BD25FC">
            <w:pPr>
              <w:rPr>
                <w:rFonts w:ascii="Tahoma" w:hAnsi="Tahoma" w:cs="Tahoma"/>
                <w:b/>
                <w:sz w:val="20"/>
              </w:rPr>
            </w:pPr>
            <w:r>
              <w:rPr>
                <w:rFonts w:ascii="Tahoma" w:hAnsi="Tahoma" w:cs="Tahoma"/>
                <w:b/>
                <w:sz w:val="20"/>
              </w:rPr>
              <w:t>Aktualna sytuacja w Spółce Braster Sp. z o.o.</w:t>
            </w:r>
          </w:p>
        </w:tc>
      </w:tr>
      <w:tr w:rsidR="00EC757F" w:rsidRPr="00AF2262" w:rsidTr="00BD25FC">
        <w:trPr>
          <w:trHeight w:val="424"/>
        </w:trPr>
        <w:tc>
          <w:tcPr>
            <w:tcW w:w="9648" w:type="dxa"/>
            <w:gridSpan w:val="2"/>
            <w:vAlign w:val="center"/>
          </w:tcPr>
          <w:p w:rsidR="00EC757F" w:rsidRPr="00AF2262" w:rsidRDefault="00EC757F" w:rsidP="00F23FAD">
            <w:pPr>
              <w:rPr>
                <w:rFonts w:ascii="Tahoma" w:hAnsi="Tahoma" w:cs="Tahoma"/>
                <w:b/>
                <w:sz w:val="20"/>
              </w:rPr>
            </w:pPr>
            <w:r w:rsidRPr="00AF2262">
              <w:rPr>
                <w:rFonts w:ascii="Tahoma" w:hAnsi="Tahoma" w:cs="Tahoma"/>
                <w:b/>
                <w:sz w:val="20"/>
              </w:rPr>
              <w:t xml:space="preserve">Raport bieżący nr </w:t>
            </w:r>
            <w:r>
              <w:rPr>
                <w:rFonts w:ascii="Tahoma" w:hAnsi="Tahoma" w:cs="Tahoma"/>
                <w:b/>
                <w:sz w:val="20"/>
              </w:rPr>
              <w:t>3/2011</w:t>
            </w:r>
          </w:p>
        </w:tc>
      </w:tr>
      <w:tr w:rsidR="00EC757F" w:rsidRPr="0053552F" w:rsidTr="00120F2A">
        <w:trPr>
          <w:trHeight w:val="524"/>
        </w:trPr>
        <w:tc>
          <w:tcPr>
            <w:tcW w:w="9648" w:type="dxa"/>
            <w:gridSpan w:val="2"/>
          </w:tcPr>
          <w:p w:rsidR="00EC757F" w:rsidRDefault="00EC757F" w:rsidP="00D977E6">
            <w:pPr>
              <w:jc w:val="both"/>
              <w:rPr>
                <w:rFonts w:ascii="Tahoma" w:hAnsi="Tahoma" w:cs="Tahoma"/>
                <w:sz w:val="20"/>
              </w:rPr>
            </w:pPr>
          </w:p>
          <w:p w:rsidR="00EC757F" w:rsidRPr="006D784E" w:rsidRDefault="00EC757F" w:rsidP="00D977E6">
            <w:pPr>
              <w:jc w:val="both"/>
              <w:rPr>
                <w:rFonts w:ascii="Tahoma" w:hAnsi="Tahoma" w:cs="Tahoma"/>
                <w:sz w:val="20"/>
              </w:rPr>
            </w:pPr>
            <w:r w:rsidRPr="006D784E">
              <w:rPr>
                <w:rFonts w:ascii="Tahoma" w:hAnsi="Tahoma" w:cs="Tahoma"/>
                <w:sz w:val="20"/>
              </w:rPr>
              <w:t xml:space="preserve">Niniejszy raport przekazany zostaje w związku z pozyskaniem przez </w:t>
            </w:r>
            <w:r>
              <w:rPr>
                <w:rFonts w:ascii="Tahoma" w:hAnsi="Tahoma" w:cs="Tahoma"/>
                <w:sz w:val="20"/>
              </w:rPr>
              <w:t xml:space="preserve">Zarząd </w:t>
            </w:r>
            <w:r w:rsidRPr="006D784E">
              <w:rPr>
                <w:rFonts w:ascii="Tahoma" w:hAnsi="Tahoma" w:cs="Tahoma"/>
                <w:sz w:val="20"/>
              </w:rPr>
              <w:t>Em</w:t>
            </w:r>
            <w:r>
              <w:rPr>
                <w:rFonts w:ascii="Tahoma" w:hAnsi="Tahoma" w:cs="Tahoma"/>
                <w:sz w:val="20"/>
              </w:rPr>
              <w:t xml:space="preserve">itenta informacji o </w:t>
            </w:r>
            <w:r w:rsidRPr="006D784E">
              <w:rPr>
                <w:rFonts w:ascii="Tahoma" w:hAnsi="Tahoma" w:cs="Tahoma"/>
                <w:sz w:val="20"/>
              </w:rPr>
              <w:t xml:space="preserve"> stanie spółki Braster Sp. z o. o. z siedzibą w Warszawie.  Informacje objęte raportem bieżącym uzyskane zostały w </w:t>
            </w:r>
            <w:r>
              <w:rPr>
                <w:rFonts w:ascii="Tahoma" w:hAnsi="Tahoma" w:cs="Tahoma"/>
                <w:sz w:val="20"/>
              </w:rPr>
              <w:t>związku z otrzymaniem ich na posiedzeniu Rady Nadzorczej</w:t>
            </w:r>
            <w:r w:rsidRPr="006D784E">
              <w:rPr>
                <w:rFonts w:ascii="Tahoma" w:hAnsi="Tahoma" w:cs="Tahoma"/>
                <w:sz w:val="20"/>
              </w:rPr>
              <w:t xml:space="preserve"> Braster Sp. z o.o.</w:t>
            </w:r>
            <w:r>
              <w:rPr>
                <w:rFonts w:ascii="Tahoma" w:hAnsi="Tahoma" w:cs="Tahoma"/>
                <w:sz w:val="20"/>
              </w:rPr>
              <w:t xml:space="preserve"> w dniu 01 marca 2011 roku</w:t>
            </w:r>
            <w:r w:rsidRPr="006D784E">
              <w:rPr>
                <w:rFonts w:ascii="Tahoma" w:hAnsi="Tahoma" w:cs="Tahoma"/>
                <w:sz w:val="20"/>
              </w:rPr>
              <w:t xml:space="preserve"> i dokonaniem oceny </w:t>
            </w:r>
            <w:r>
              <w:rPr>
                <w:rFonts w:ascii="Tahoma" w:hAnsi="Tahoma" w:cs="Tahoma"/>
                <w:sz w:val="20"/>
              </w:rPr>
              <w:t xml:space="preserve">przez Zarząd Emitenta na posiedzeniu w dniu 7 marca 2011 roku </w:t>
            </w:r>
            <w:r w:rsidRPr="006D784E">
              <w:rPr>
                <w:rFonts w:ascii="Tahoma" w:hAnsi="Tahoma" w:cs="Tahoma"/>
                <w:sz w:val="20"/>
              </w:rPr>
              <w:t xml:space="preserve">sprawozdania Zarządu  </w:t>
            </w:r>
            <w:r>
              <w:rPr>
                <w:rFonts w:ascii="Tahoma" w:hAnsi="Tahoma" w:cs="Tahoma"/>
                <w:sz w:val="20"/>
              </w:rPr>
              <w:t xml:space="preserve">Braster Sp. z o.o. </w:t>
            </w:r>
            <w:r w:rsidRPr="006D784E">
              <w:rPr>
                <w:rFonts w:ascii="Tahoma" w:hAnsi="Tahoma" w:cs="Tahoma"/>
                <w:sz w:val="20"/>
              </w:rPr>
              <w:t xml:space="preserve">za 2010 r. </w:t>
            </w:r>
            <w:r>
              <w:rPr>
                <w:rFonts w:ascii="Tahoma" w:hAnsi="Tahoma" w:cs="Tahoma"/>
                <w:sz w:val="20"/>
              </w:rPr>
              <w:t>.</w:t>
            </w:r>
            <w:r w:rsidRPr="006D784E">
              <w:rPr>
                <w:rFonts w:ascii="Tahoma" w:hAnsi="Tahoma" w:cs="Tahoma"/>
                <w:sz w:val="20"/>
              </w:rPr>
              <w:t xml:space="preserve">Prawo  indywidualnej kontroli wspólników spółki  Braster Sp. z o.o. zostało wyłączone w związku z tym wspólnicy, w tym Emitent pozyskują </w:t>
            </w:r>
            <w:r>
              <w:rPr>
                <w:rFonts w:ascii="Tahoma" w:hAnsi="Tahoma" w:cs="Tahoma"/>
                <w:sz w:val="20"/>
              </w:rPr>
              <w:t>informacje</w:t>
            </w:r>
            <w:r w:rsidRPr="006D784E">
              <w:rPr>
                <w:rFonts w:ascii="Tahoma" w:hAnsi="Tahoma" w:cs="Tahoma"/>
                <w:sz w:val="20"/>
              </w:rPr>
              <w:t xml:space="preserve"> prawnie wiążące o Braster Sp. z o.o. za pośrednictwem Rady Nadzorczej. </w:t>
            </w:r>
          </w:p>
          <w:p w:rsidR="00EC757F" w:rsidRDefault="00EC757F" w:rsidP="00D977E6">
            <w:pPr>
              <w:jc w:val="both"/>
              <w:rPr>
                <w:rFonts w:ascii="Tahoma" w:hAnsi="Tahoma" w:cs="Tahoma"/>
                <w:sz w:val="20"/>
              </w:rPr>
            </w:pPr>
            <w:r w:rsidRPr="00993DEA">
              <w:rPr>
                <w:rFonts w:ascii="Tahoma" w:hAnsi="Tahoma" w:cs="Tahoma"/>
                <w:sz w:val="20"/>
              </w:rPr>
              <w:t>Informacje objęte raportem mają charakter informacji poufnych w rozumieniu art. 56 ustawy z dnia 29 lipca 2005 r. o ofercie publicznej i warunkach wprowadzania instrumentów finansowych do zorganizowanego systemu obrotu oraz o spółkach publicznych</w:t>
            </w:r>
            <w:r>
              <w:rPr>
                <w:rFonts w:ascii="Tahoma" w:hAnsi="Tahoma" w:cs="Tahoma"/>
                <w:sz w:val="20"/>
              </w:rPr>
              <w:t xml:space="preserve"> </w:t>
            </w:r>
            <w:r w:rsidRPr="00993DEA">
              <w:rPr>
                <w:rFonts w:ascii="Tahoma" w:hAnsi="Tahoma" w:cs="Tahoma"/>
                <w:sz w:val="20"/>
              </w:rPr>
              <w:t xml:space="preserve">i należy traktować je jako informacje mogące wpłynąć na wartość akcji Emitenta. </w:t>
            </w:r>
          </w:p>
          <w:p w:rsidR="00EC757F" w:rsidRPr="00993DEA" w:rsidRDefault="00EC757F" w:rsidP="00D977E6">
            <w:pPr>
              <w:jc w:val="both"/>
              <w:rPr>
                <w:rFonts w:ascii="Tahoma" w:hAnsi="Tahoma" w:cs="Tahoma"/>
                <w:sz w:val="20"/>
              </w:rPr>
            </w:pPr>
          </w:p>
          <w:p w:rsidR="00EC757F" w:rsidRPr="00D977E6" w:rsidRDefault="00EC757F" w:rsidP="00755708">
            <w:pPr>
              <w:pStyle w:val="ListParagraph"/>
              <w:numPr>
                <w:ilvl w:val="0"/>
                <w:numId w:val="46"/>
              </w:numPr>
              <w:spacing w:after="120"/>
              <w:ind w:left="425" w:hanging="425"/>
              <w:jc w:val="both"/>
              <w:rPr>
                <w:rFonts w:ascii="Tahoma" w:hAnsi="Tahoma" w:cs="Tahoma"/>
                <w:b/>
                <w:sz w:val="20"/>
              </w:rPr>
            </w:pPr>
            <w:r w:rsidRPr="00D977E6">
              <w:rPr>
                <w:rFonts w:ascii="Tahoma" w:hAnsi="Tahoma" w:cs="Tahoma"/>
                <w:b/>
                <w:sz w:val="20"/>
              </w:rPr>
              <w:t xml:space="preserve">Sytuacja finansowa Braster Sp. z o.o. </w:t>
            </w:r>
          </w:p>
          <w:p w:rsidR="00EC757F" w:rsidRDefault="00EC757F" w:rsidP="00755708">
            <w:pPr>
              <w:pStyle w:val="ListParagraph"/>
              <w:spacing w:after="120"/>
              <w:ind w:left="0"/>
              <w:jc w:val="both"/>
              <w:rPr>
                <w:rFonts w:ascii="Tahoma" w:hAnsi="Tahoma" w:cs="Tahoma"/>
                <w:sz w:val="20"/>
              </w:rPr>
            </w:pPr>
            <w:r w:rsidRPr="006D784E">
              <w:rPr>
                <w:rFonts w:ascii="Tahoma" w:hAnsi="Tahoma" w:cs="Tahoma"/>
                <w:sz w:val="20"/>
              </w:rPr>
              <w:t>Rachunek zysków  i strat z</w:t>
            </w:r>
            <w:r>
              <w:rPr>
                <w:rFonts w:ascii="Tahoma" w:hAnsi="Tahoma" w:cs="Tahoma"/>
                <w:sz w:val="20"/>
              </w:rPr>
              <w:t>a</w:t>
            </w:r>
            <w:r w:rsidRPr="006D784E">
              <w:rPr>
                <w:rFonts w:ascii="Tahoma" w:hAnsi="Tahoma" w:cs="Tahoma"/>
                <w:sz w:val="20"/>
              </w:rPr>
              <w:t xml:space="preserve"> rok obr</w:t>
            </w:r>
            <w:r>
              <w:rPr>
                <w:rFonts w:ascii="Tahoma" w:hAnsi="Tahoma" w:cs="Tahoma"/>
                <w:sz w:val="20"/>
              </w:rPr>
              <w:t xml:space="preserve">otowy </w:t>
            </w:r>
            <w:r w:rsidRPr="006D784E">
              <w:rPr>
                <w:rFonts w:ascii="Tahoma" w:hAnsi="Tahoma" w:cs="Tahoma"/>
                <w:sz w:val="20"/>
              </w:rPr>
              <w:t>2010 r. wskazuje strat</w:t>
            </w:r>
            <w:r>
              <w:rPr>
                <w:rFonts w:ascii="Tahoma" w:hAnsi="Tahoma" w:cs="Tahoma"/>
                <w:sz w:val="20"/>
              </w:rPr>
              <w:t>ę netto w kwocie 456.514,01 PLN, kapitały własne Spółki na dzień 31.12.2010 roku są ujemne i wynoszą -80 966,90</w:t>
            </w:r>
            <w:r w:rsidRPr="006D784E">
              <w:rPr>
                <w:rFonts w:ascii="Tahoma" w:hAnsi="Tahoma" w:cs="Tahoma"/>
                <w:sz w:val="20"/>
              </w:rPr>
              <w:t xml:space="preserve"> PLN.</w:t>
            </w:r>
            <w:r>
              <w:rPr>
                <w:rFonts w:ascii="Tahoma" w:hAnsi="Tahoma" w:cs="Tahoma"/>
                <w:sz w:val="20"/>
              </w:rPr>
              <w:t xml:space="preserve"> </w:t>
            </w:r>
          </w:p>
          <w:p w:rsidR="00EC757F" w:rsidRDefault="00EC757F" w:rsidP="00755708">
            <w:pPr>
              <w:pStyle w:val="ListParagraph"/>
              <w:spacing w:after="120"/>
              <w:ind w:left="0"/>
              <w:jc w:val="both"/>
              <w:rPr>
                <w:rFonts w:ascii="Tahoma" w:hAnsi="Tahoma" w:cs="Tahoma"/>
                <w:sz w:val="20"/>
              </w:rPr>
            </w:pPr>
            <w:r>
              <w:rPr>
                <w:rFonts w:ascii="Tahoma" w:hAnsi="Tahoma" w:cs="Tahoma"/>
                <w:sz w:val="20"/>
              </w:rPr>
              <w:t xml:space="preserve">Sprawozdanie Finansowe Spółki będzie podlegało ocenie i zatwierdzeniu na Zgromadzeniu Wspólników w dniu 29 marca 2011 roku. </w:t>
            </w:r>
          </w:p>
          <w:p w:rsidR="00EC757F" w:rsidRDefault="00EC757F" w:rsidP="00755708">
            <w:pPr>
              <w:pStyle w:val="ListParagraph"/>
              <w:spacing w:after="120"/>
              <w:ind w:left="0"/>
              <w:jc w:val="both"/>
              <w:rPr>
                <w:rFonts w:ascii="Tahoma" w:hAnsi="Tahoma" w:cs="Tahoma"/>
                <w:sz w:val="20"/>
              </w:rPr>
            </w:pPr>
            <w:r>
              <w:rPr>
                <w:rFonts w:ascii="Tahoma" w:hAnsi="Tahoma" w:cs="Tahoma"/>
                <w:sz w:val="20"/>
              </w:rPr>
              <w:t>Według stanu na dzień 31.08.2010 roku kapitał własny Spółki był ujemny i wyniósł 15,5 tys. zł i NZW Braster Sp. z o.o. , które odbyło się 24 listopada 2010 roku w związku</w:t>
            </w:r>
            <w:r w:rsidRPr="000B413F">
              <w:rPr>
                <w:rFonts w:ascii="Tahoma" w:hAnsi="Tahoma" w:cs="Tahoma"/>
                <w:sz w:val="20"/>
              </w:rPr>
              <w:t xml:space="preserve"> z  art. 233 § 1 Ksh.</w:t>
            </w:r>
            <w:r>
              <w:rPr>
                <w:rFonts w:ascii="Tahoma" w:hAnsi="Tahoma" w:cs="Tahoma"/>
                <w:sz w:val="20"/>
              </w:rPr>
              <w:t xml:space="preserve"> podjęło uchwałę o dalszym istnieniu Spółki.</w:t>
            </w:r>
          </w:p>
          <w:p w:rsidR="00EC757F" w:rsidRPr="00D977E6" w:rsidRDefault="00EC757F" w:rsidP="00D977E6">
            <w:pPr>
              <w:pStyle w:val="ListParagraph"/>
              <w:numPr>
                <w:ilvl w:val="0"/>
                <w:numId w:val="46"/>
              </w:numPr>
              <w:spacing w:after="120"/>
              <w:ind w:left="425" w:hanging="425"/>
              <w:jc w:val="both"/>
              <w:rPr>
                <w:rFonts w:ascii="Tahoma" w:hAnsi="Tahoma" w:cs="Tahoma"/>
                <w:b/>
                <w:sz w:val="20"/>
              </w:rPr>
            </w:pPr>
            <w:r w:rsidRPr="00D977E6">
              <w:rPr>
                <w:rFonts w:ascii="Tahoma" w:hAnsi="Tahoma" w:cs="Tahoma"/>
                <w:b/>
                <w:sz w:val="20"/>
              </w:rPr>
              <w:t>Dofinansowanie z PARP</w:t>
            </w:r>
          </w:p>
          <w:p w:rsidR="00EC757F" w:rsidRDefault="00EC757F" w:rsidP="00D977E6">
            <w:pPr>
              <w:spacing w:after="120"/>
              <w:jc w:val="both"/>
              <w:rPr>
                <w:rFonts w:ascii="Tahoma" w:hAnsi="Tahoma" w:cs="Tahoma"/>
                <w:sz w:val="20"/>
              </w:rPr>
            </w:pPr>
            <w:r>
              <w:rPr>
                <w:rFonts w:ascii="Tahoma" w:hAnsi="Tahoma" w:cs="Tahoma"/>
                <w:sz w:val="20"/>
              </w:rPr>
              <w:t>Spółka Braster złożyła w PARP wszystkie niezbędne dokumenty związane z rozliczeniem dotacji związanej z realizacją I Etapu Projektu - działanie 1.4. .Wg informacji otrzymanych od osób rozliczających w PARP ostatnia transza dotacji w wysokości około 32 tys. powinna wpłynąć do końca marca 2011 roku. Równocześnie Braster Sp. z o.o. powinna otrzymać z PARP pisemne  potwierdzenie formalnego zakończenia I Etapu Projektu.</w:t>
            </w:r>
          </w:p>
          <w:p w:rsidR="00EC757F" w:rsidRDefault="00EC757F" w:rsidP="00D977E6">
            <w:pPr>
              <w:spacing w:after="120"/>
              <w:jc w:val="both"/>
              <w:rPr>
                <w:rFonts w:ascii="Tahoma" w:hAnsi="Tahoma" w:cs="Tahoma"/>
                <w:sz w:val="20"/>
              </w:rPr>
            </w:pPr>
            <w:r>
              <w:rPr>
                <w:rFonts w:ascii="Tahoma" w:hAnsi="Tahoma" w:cs="Tahoma"/>
                <w:sz w:val="20"/>
              </w:rPr>
              <w:t>Rozpoczęcie prac związanych z uruchomieniem II Etapu będzie związane ze złożeniem wniosku do PARP o aktualizację harmonogramu oraz budżetu projektu.</w:t>
            </w:r>
          </w:p>
          <w:p w:rsidR="00EC757F" w:rsidRDefault="00EC757F" w:rsidP="00D977E6">
            <w:pPr>
              <w:spacing w:after="120"/>
              <w:jc w:val="both"/>
              <w:rPr>
                <w:rFonts w:ascii="Tahoma" w:hAnsi="Tahoma" w:cs="Tahoma"/>
                <w:sz w:val="20"/>
              </w:rPr>
            </w:pPr>
            <w:r>
              <w:rPr>
                <w:rFonts w:ascii="Tahoma" w:hAnsi="Tahoma" w:cs="Tahoma"/>
                <w:sz w:val="20"/>
              </w:rPr>
              <w:t xml:space="preserve"> Planowane są następujące działania: </w:t>
            </w:r>
          </w:p>
          <w:p w:rsidR="00EC757F" w:rsidRPr="00587740" w:rsidRDefault="00EC757F" w:rsidP="00D977E6">
            <w:pPr>
              <w:shd w:val="clear" w:color="auto" w:fill="FFFFFF"/>
              <w:spacing w:before="135"/>
              <w:rPr>
                <w:rFonts w:ascii="Tahoma" w:hAnsi="Tahoma" w:cs="Tahoma"/>
                <w:sz w:val="20"/>
              </w:rPr>
            </w:pPr>
            <w:r w:rsidRPr="00587740">
              <w:rPr>
                <w:rFonts w:ascii="Tahoma" w:hAnsi="Tahoma" w:cs="Tahoma"/>
                <w:sz w:val="20"/>
              </w:rPr>
              <w:t>Zadanie 1: przygotowanie inwestycji</w:t>
            </w:r>
          </w:p>
          <w:p w:rsidR="00EC757F" w:rsidRPr="003F6AB6" w:rsidRDefault="00EC757F" w:rsidP="00D977E6">
            <w:pPr>
              <w:shd w:val="clear" w:color="auto" w:fill="FFFFFF"/>
              <w:spacing w:before="135"/>
              <w:jc w:val="both"/>
              <w:rPr>
                <w:rFonts w:ascii="Tahoma" w:hAnsi="Tahoma" w:cs="Tahoma"/>
                <w:sz w:val="20"/>
              </w:rPr>
            </w:pPr>
            <w:r w:rsidRPr="003F6AB6">
              <w:rPr>
                <w:rFonts w:ascii="Tahoma" w:hAnsi="Tahoma" w:cs="Tahoma"/>
                <w:sz w:val="20"/>
              </w:rPr>
              <w:t>Wybór miejsca instalacji, podpisanie wieloletniej umowy dzierżawy, przygotowanie procedur przetargowych i rozpisanie przetargów, zakup praw do technologii potrzebnych w procesie produkcji.</w:t>
            </w:r>
          </w:p>
          <w:p w:rsidR="00EC757F" w:rsidRPr="00587740" w:rsidRDefault="00EC757F" w:rsidP="00D977E6">
            <w:pPr>
              <w:shd w:val="clear" w:color="auto" w:fill="FFFFFF"/>
              <w:spacing w:before="135"/>
              <w:jc w:val="both"/>
              <w:rPr>
                <w:rFonts w:ascii="Tahoma" w:hAnsi="Tahoma" w:cs="Tahoma"/>
                <w:sz w:val="20"/>
              </w:rPr>
            </w:pPr>
            <w:r w:rsidRPr="00587740">
              <w:rPr>
                <w:rFonts w:ascii="Tahoma" w:hAnsi="Tahoma" w:cs="Tahoma"/>
                <w:sz w:val="20"/>
              </w:rPr>
              <w:t>Zadanie 2: adaptacja pomieszczeń produkcyjnych</w:t>
            </w:r>
          </w:p>
          <w:p w:rsidR="00EC757F" w:rsidRPr="003F6AB6" w:rsidRDefault="00EC757F" w:rsidP="00D977E6">
            <w:pPr>
              <w:shd w:val="clear" w:color="auto" w:fill="FFFFFF"/>
              <w:spacing w:before="135"/>
              <w:jc w:val="both"/>
              <w:rPr>
                <w:rFonts w:ascii="Tahoma" w:hAnsi="Tahoma" w:cs="Tahoma"/>
                <w:sz w:val="20"/>
              </w:rPr>
            </w:pPr>
            <w:r w:rsidRPr="003F6AB6">
              <w:rPr>
                <w:rFonts w:ascii="Tahoma" w:hAnsi="Tahoma" w:cs="Tahoma"/>
                <w:sz w:val="20"/>
              </w:rPr>
              <w:t>Planowana produkcja ma charakter zaawansowany,  w tym niektóre parametry pomieszczeń produkcyjnych wynikają z przepisów prawa, dlatego niezbędna jest adaptacja pomieszczeń produkcyjnych do potrzeb produkcji medycznej, w tym m.in. pokrycie ścian farbą hydrofobową, wykonanie instalacji wentylacyjnej z recyrkulacją i filtrami chemicznymi, wykonanie instalacji wodnej i odprowadzenia odpadów, wykonanie boksów pyłoszczelnych oraz wykonanie systemu zabezpieczeń.</w:t>
            </w:r>
          </w:p>
          <w:p w:rsidR="00EC757F" w:rsidRPr="00587740" w:rsidRDefault="00EC757F" w:rsidP="00D977E6">
            <w:pPr>
              <w:shd w:val="clear" w:color="auto" w:fill="FFFFFF"/>
              <w:spacing w:before="135"/>
              <w:jc w:val="both"/>
              <w:rPr>
                <w:rFonts w:ascii="Tahoma" w:hAnsi="Tahoma" w:cs="Tahoma"/>
                <w:sz w:val="20"/>
              </w:rPr>
            </w:pPr>
            <w:r w:rsidRPr="00587740">
              <w:rPr>
                <w:rFonts w:ascii="Tahoma" w:hAnsi="Tahoma" w:cs="Tahoma"/>
                <w:sz w:val="20"/>
              </w:rPr>
              <w:t>Zadanie 3:kompletacja dostaw urządzeń i aparatury</w:t>
            </w:r>
          </w:p>
          <w:p w:rsidR="00EC757F" w:rsidRPr="003F6AB6" w:rsidRDefault="00EC757F" w:rsidP="00D977E6">
            <w:pPr>
              <w:shd w:val="clear" w:color="auto" w:fill="FFFFFF"/>
              <w:spacing w:before="135"/>
              <w:jc w:val="both"/>
              <w:rPr>
                <w:rFonts w:ascii="Tahoma" w:hAnsi="Tahoma" w:cs="Tahoma"/>
                <w:sz w:val="20"/>
              </w:rPr>
            </w:pPr>
            <w:r w:rsidRPr="003F6AB6">
              <w:rPr>
                <w:rFonts w:ascii="Tahoma" w:hAnsi="Tahoma" w:cs="Tahoma"/>
                <w:sz w:val="20"/>
              </w:rPr>
              <w:t>W czasie realizacji zadania zostaną rozstrzygnięte przetargi,</w:t>
            </w:r>
            <w:r>
              <w:rPr>
                <w:rFonts w:ascii="Tahoma" w:hAnsi="Tahoma" w:cs="Tahoma"/>
                <w:sz w:val="20"/>
              </w:rPr>
              <w:t xml:space="preserve"> </w:t>
            </w:r>
            <w:r w:rsidRPr="003F6AB6">
              <w:rPr>
                <w:rFonts w:ascii="Tahoma" w:hAnsi="Tahoma" w:cs="Tahoma"/>
                <w:sz w:val="20"/>
              </w:rPr>
              <w:t xml:space="preserve">w wyniku których zamówione urządzenia i maszyny będą spływać do miejsca przeznaczenia. </w:t>
            </w:r>
          </w:p>
          <w:p w:rsidR="00EC757F" w:rsidRPr="00587740" w:rsidRDefault="00EC757F" w:rsidP="00D977E6">
            <w:pPr>
              <w:shd w:val="clear" w:color="auto" w:fill="FFFFFF"/>
              <w:spacing w:before="135"/>
              <w:jc w:val="both"/>
              <w:rPr>
                <w:rFonts w:ascii="Tahoma" w:hAnsi="Tahoma" w:cs="Tahoma"/>
                <w:sz w:val="20"/>
              </w:rPr>
            </w:pPr>
            <w:r w:rsidRPr="00587740">
              <w:rPr>
                <w:rFonts w:ascii="Tahoma" w:hAnsi="Tahoma" w:cs="Tahoma"/>
                <w:sz w:val="20"/>
              </w:rPr>
              <w:t xml:space="preserve">Zadanie 4:instalacja i odbiór (w tym testy) </w:t>
            </w:r>
          </w:p>
          <w:p w:rsidR="00EC757F" w:rsidRPr="003F6AB6" w:rsidRDefault="00EC757F" w:rsidP="00D977E6">
            <w:pPr>
              <w:shd w:val="clear" w:color="auto" w:fill="FFFFFF"/>
              <w:spacing w:before="135"/>
              <w:jc w:val="both"/>
              <w:rPr>
                <w:rFonts w:ascii="Tahoma" w:hAnsi="Tahoma" w:cs="Tahoma"/>
                <w:sz w:val="20"/>
              </w:rPr>
            </w:pPr>
            <w:r w:rsidRPr="003F6AB6">
              <w:rPr>
                <w:rFonts w:ascii="Tahoma" w:hAnsi="Tahoma" w:cs="Tahoma"/>
                <w:sz w:val="20"/>
              </w:rPr>
              <w:t>W toku zadania przewidziano niezbędne prace instalacyjne nowych maszyn, odbiór techniczny oraz niezbędne usługi doradcze związane z uruchomieniem i odbiorem instalacji.</w:t>
            </w:r>
          </w:p>
          <w:p w:rsidR="00EC757F" w:rsidRPr="003F6AB6" w:rsidRDefault="00EC757F" w:rsidP="00D977E6">
            <w:pPr>
              <w:shd w:val="clear" w:color="auto" w:fill="FFFFFF"/>
              <w:spacing w:before="135"/>
              <w:jc w:val="both"/>
              <w:rPr>
                <w:rFonts w:ascii="Tahoma" w:hAnsi="Tahoma" w:cs="Tahoma"/>
                <w:sz w:val="20"/>
              </w:rPr>
            </w:pPr>
            <w:r w:rsidRPr="003F6AB6">
              <w:rPr>
                <w:rFonts w:ascii="Tahoma" w:hAnsi="Tahoma" w:cs="Tahoma"/>
                <w:sz w:val="20"/>
              </w:rPr>
              <w:t xml:space="preserve">Podpisana </w:t>
            </w:r>
            <w:r>
              <w:rPr>
                <w:rFonts w:ascii="Tahoma" w:hAnsi="Tahoma" w:cs="Tahoma"/>
                <w:sz w:val="20"/>
              </w:rPr>
              <w:t xml:space="preserve">w grudniu 2008 roku </w:t>
            </w:r>
            <w:r w:rsidRPr="003F6AB6">
              <w:rPr>
                <w:rFonts w:ascii="Tahoma" w:hAnsi="Tahoma" w:cs="Tahoma"/>
                <w:sz w:val="20"/>
              </w:rPr>
              <w:t>umowa</w:t>
            </w:r>
            <w:r>
              <w:rPr>
                <w:rFonts w:ascii="Tahoma" w:hAnsi="Tahoma" w:cs="Tahoma"/>
                <w:sz w:val="20"/>
              </w:rPr>
              <w:t xml:space="preserve"> z PARP</w:t>
            </w:r>
            <w:r w:rsidRPr="003F6AB6">
              <w:rPr>
                <w:rFonts w:ascii="Tahoma" w:hAnsi="Tahoma" w:cs="Tahoma"/>
                <w:sz w:val="20"/>
              </w:rPr>
              <w:t xml:space="preserve"> o dofinansowanie przewiduje następujący</w:t>
            </w:r>
            <w:r>
              <w:rPr>
                <w:rFonts w:ascii="Tahoma" w:hAnsi="Tahoma" w:cs="Tahoma"/>
                <w:sz w:val="20"/>
              </w:rPr>
              <w:t xml:space="preserve"> jego</w:t>
            </w:r>
            <w:r w:rsidRPr="003F6AB6">
              <w:rPr>
                <w:rFonts w:ascii="Tahoma" w:hAnsi="Tahoma" w:cs="Tahoma"/>
                <w:sz w:val="20"/>
              </w:rPr>
              <w:t xml:space="preserve"> poziom:</w:t>
            </w:r>
          </w:p>
          <w:tbl>
            <w:tblPr>
              <w:tblW w:w="8114" w:type="dxa"/>
              <w:tblInd w:w="55" w:type="dxa"/>
              <w:tblLayout w:type="fixed"/>
              <w:tblCellMar>
                <w:left w:w="70" w:type="dxa"/>
                <w:right w:w="70" w:type="dxa"/>
              </w:tblCellMar>
              <w:tblLook w:val="0000"/>
            </w:tblPr>
            <w:tblGrid>
              <w:gridCol w:w="5415"/>
              <w:gridCol w:w="2699"/>
            </w:tblGrid>
            <w:tr w:rsidR="00EC757F" w:rsidTr="00EA37C9">
              <w:trPr>
                <w:trHeight w:val="478"/>
              </w:trPr>
              <w:tc>
                <w:tcPr>
                  <w:tcW w:w="5415" w:type="dxa"/>
                  <w:vMerge w:val="restart"/>
                  <w:tcBorders>
                    <w:top w:val="single" w:sz="4" w:space="0" w:color="auto"/>
                    <w:left w:val="single" w:sz="4" w:space="0" w:color="auto"/>
                    <w:bottom w:val="single" w:sz="4" w:space="0" w:color="auto"/>
                    <w:right w:val="single" w:sz="4" w:space="0" w:color="auto"/>
                  </w:tcBorders>
                  <w:noWrap/>
                  <w:vAlign w:val="bottom"/>
                </w:tcPr>
                <w:p w:rsidR="00EC757F" w:rsidRPr="003F6AB6" w:rsidRDefault="00EC757F" w:rsidP="00D977E6">
                  <w:pPr>
                    <w:jc w:val="center"/>
                    <w:rPr>
                      <w:rFonts w:ascii="Tahoma" w:hAnsi="Tahoma" w:cs="Tahoma"/>
                      <w:sz w:val="20"/>
                    </w:rPr>
                  </w:pPr>
                  <w:r w:rsidRPr="003F6AB6">
                    <w:rPr>
                      <w:rFonts w:ascii="Tahoma" w:hAnsi="Tahoma" w:cs="Tahoma"/>
                      <w:sz w:val="20"/>
                    </w:rPr>
                    <w:t>Wyszczególnienie</w:t>
                  </w:r>
                  <w:r>
                    <w:rPr>
                      <w:rFonts w:ascii="Tahoma" w:hAnsi="Tahoma" w:cs="Tahoma"/>
                      <w:sz w:val="20"/>
                    </w:rPr>
                    <w:t xml:space="preserve"> – Działanie 4.1</w:t>
                  </w:r>
                </w:p>
              </w:tc>
              <w:tc>
                <w:tcPr>
                  <w:tcW w:w="2699" w:type="dxa"/>
                  <w:vMerge w:val="restart"/>
                  <w:tcBorders>
                    <w:top w:val="single" w:sz="4" w:space="0" w:color="auto"/>
                    <w:left w:val="single" w:sz="4" w:space="0" w:color="auto"/>
                    <w:bottom w:val="single" w:sz="4" w:space="0" w:color="auto"/>
                    <w:right w:val="single" w:sz="4" w:space="0" w:color="auto"/>
                  </w:tcBorders>
                  <w:noWrap/>
                  <w:vAlign w:val="bottom"/>
                </w:tcPr>
                <w:p w:rsidR="00EC757F" w:rsidRPr="003F6AB6" w:rsidRDefault="00EC757F" w:rsidP="00D977E6">
                  <w:pPr>
                    <w:jc w:val="center"/>
                    <w:rPr>
                      <w:rFonts w:ascii="Tahoma" w:hAnsi="Tahoma" w:cs="Tahoma"/>
                      <w:sz w:val="20"/>
                    </w:rPr>
                  </w:pPr>
                  <w:r w:rsidRPr="003F6AB6">
                    <w:rPr>
                      <w:rFonts w:ascii="Tahoma" w:hAnsi="Tahoma" w:cs="Tahoma"/>
                      <w:sz w:val="20"/>
                    </w:rPr>
                    <w:t>Etap II - Plan</w:t>
                  </w:r>
                </w:p>
              </w:tc>
            </w:tr>
            <w:tr w:rsidR="00EC757F" w:rsidTr="00EA37C9">
              <w:trPr>
                <w:trHeight w:val="478"/>
              </w:trPr>
              <w:tc>
                <w:tcPr>
                  <w:tcW w:w="5415" w:type="dxa"/>
                  <w:vMerge/>
                  <w:tcBorders>
                    <w:top w:val="single" w:sz="4" w:space="0" w:color="auto"/>
                    <w:left w:val="single" w:sz="4" w:space="0" w:color="auto"/>
                    <w:bottom w:val="single" w:sz="4" w:space="0" w:color="auto"/>
                    <w:right w:val="single" w:sz="4" w:space="0" w:color="auto"/>
                  </w:tcBorders>
                  <w:vAlign w:val="center"/>
                </w:tcPr>
                <w:p w:rsidR="00EC757F" w:rsidRPr="003F6AB6" w:rsidRDefault="00EC757F" w:rsidP="00D977E6">
                  <w:pPr>
                    <w:rPr>
                      <w:rFonts w:ascii="Tahoma" w:hAnsi="Tahoma" w:cs="Tahoma"/>
                      <w:sz w:val="20"/>
                    </w:rPr>
                  </w:pPr>
                </w:p>
              </w:tc>
              <w:tc>
                <w:tcPr>
                  <w:tcW w:w="2699" w:type="dxa"/>
                  <w:vMerge/>
                  <w:tcBorders>
                    <w:top w:val="single" w:sz="4" w:space="0" w:color="auto"/>
                    <w:left w:val="single" w:sz="4" w:space="0" w:color="auto"/>
                    <w:bottom w:val="single" w:sz="4" w:space="0" w:color="auto"/>
                    <w:right w:val="single" w:sz="4" w:space="0" w:color="auto"/>
                  </w:tcBorders>
                  <w:vAlign w:val="center"/>
                </w:tcPr>
                <w:p w:rsidR="00EC757F" w:rsidRPr="003F6AB6" w:rsidRDefault="00EC757F" w:rsidP="00D977E6">
                  <w:pPr>
                    <w:rPr>
                      <w:rFonts w:ascii="Tahoma" w:hAnsi="Tahoma" w:cs="Tahoma"/>
                      <w:sz w:val="20"/>
                    </w:rPr>
                  </w:pPr>
                </w:p>
              </w:tc>
            </w:tr>
            <w:tr w:rsidR="00EC757F" w:rsidTr="00EA37C9">
              <w:trPr>
                <w:trHeight w:val="471"/>
              </w:trPr>
              <w:tc>
                <w:tcPr>
                  <w:tcW w:w="5415" w:type="dxa"/>
                  <w:tcBorders>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b/>
                      <w:sz w:val="20"/>
                    </w:rPr>
                  </w:pPr>
                  <w:r w:rsidRPr="003F6AB6">
                    <w:rPr>
                      <w:rFonts w:ascii="Tahoma" w:hAnsi="Tahoma" w:cs="Tahoma"/>
                      <w:b/>
                      <w:sz w:val="20"/>
                    </w:rPr>
                    <w:t>Inwestycje</w:t>
                  </w:r>
                  <w:r>
                    <w:rPr>
                      <w:rFonts w:ascii="Tahoma" w:hAnsi="Tahoma" w:cs="Tahoma"/>
                      <w:b/>
                      <w:sz w:val="20"/>
                    </w:rPr>
                    <w:t xml:space="preserve"> w tym:</w:t>
                  </w:r>
                </w:p>
              </w:tc>
              <w:tc>
                <w:tcPr>
                  <w:tcW w:w="2699" w:type="dxa"/>
                  <w:tcBorders>
                    <w:bottom w:val="single" w:sz="4" w:space="0" w:color="auto"/>
                    <w:right w:val="single" w:sz="4" w:space="0" w:color="auto"/>
                  </w:tcBorders>
                  <w:noWrap/>
                  <w:vAlign w:val="bottom"/>
                </w:tcPr>
                <w:p w:rsidR="00EC757F" w:rsidRPr="003F6AB6" w:rsidRDefault="00EC757F" w:rsidP="00D977E6">
                  <w:pPr>
                    <w:jc w:val="center"/>
                    <w:rPr>
                      <w:rFonts w:ascii="Tahoma" w:hAnsi="Tahoma" w:cs="Tahoma"/>
                      <w:b/>
                      <w:sz w:val="20"/>
                    </w:rPr>
                  </w:pPr>
                  <w:r w:rsidRPr="003F6AB6">
                    <w:rPr>
                      <w:rFonts w:ascii="Tahoma" w:hAnsi="Tahoma" w:cs="Tahoma"/>
                      <w:b/>
                      <w:sz w:val="20"/>
                    </w:rPr>
                    <w:t>2 039 677,69</w:t>
                  </w:r>
                </w:p>
              </w:tc>
            </w:tr>
            <w:tr w:rsidR="00EC757F" w:rsidTr="00EA37C9">
              <w:trPr>
                <w:trHeight w:val="255"/>
              </w:trPr>
              <w:tc>
                <w:tcPr>
                  <w:tcW w:w="5415" w:type="dxa"/>
                  <w:tcBorders>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sz w:val="20"/>
                    </w:rPr>
                  </w:pPr>
                  <w:r w:rsidRPr="003F6AB6">
                    <w:rPr>
                      <w:rFonts w:ascii="Tahoma" w:hAnsi="Tahoma" w:cs="Tahoma"/>
                      <w:sz w:val="20"/>
                    </w:rPr>
                    <w:t xml:space="preserve">             Refundacja PARP 60%</w:t>
                  </w:r>
                </w:p>
              </w:tc>
              <w:tc>
                <w:tcPr>
                  <w:tcW w:w="2699" w:type="dxa"/>
                  <w:tcBorders>
                    <w:bottom w:val="single" w:sz="4" w:space="0" w:color="auto"/>
                    <w:right w:val="single" w:sz="4" w:space="0" w:color="auto"/>
                  </w:tcBorders>
                  <w:noWrap/>
                  <w:vAlign w:val="bottom"/>
                </w:tcPr>
                <w:p w:rsidR="00EC757F" w:rsidRPr="003F6AB6" w:rsidRDefault="00EC757F" w:rsidP="00D977E6">
                  <w:pPr>
                    <w:jc w:val="right"/>
                    <w:rPr>
                      <w:rFonts w:ascii="Tahoma" w:hAnsi="Tahoma" w:cs="Tahoma"/>
                      <w:sz w:val="20"/>
                    </w:rPr>
                  </w:pPr>
                  <w:r w:rsidRPr="003F6AB6">
                    <w:rPr>
                      <w:rFonts w:ascii="Tahoma" w:hAnsi="Tahoma" w:cs="Tahoma"/>
                      <w:sz w:val="20"/>
                    </w:rPr>
                    <w:t>1 223 806,61</w:t>
                  </w:r>
                </w:p>
              </w:tc>
            </w:tr>
            <w:tr w:rsidR="00EC757F" w:rsidTr="00EA37C9">
              <w:trPr>
                <w:trHeight w:val="360"/>
              </w:trPr>
              <w:tc>
                <w:tcPr>
                  <w:tcW w:w="5415" w:type="dxa"/>
                  <w:tcBorders>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b/>
                      <w:sz w:val="20"/>
                    </w:rPr>
                  </w:pPr>
                  <w:r w:rsidRPr="003F6AB6">
                    <w:rPr>
                      <w:rFonts w:ascii="Tahoma" w:hAnsi="Tahoma" w:cs="Tahoma"/>
                      <w:b/>
                      <w:sz w:val="20"/>
                    </w:rPr>
                    <w:t>Doradztwo</w:t>
                  </w:r>
                  <w:r>
                    <w:rPr>
                      <w:rFonts w:ascii="Tahoma" w:hAnsi="Tahoma" w:cs="Tahoma"/>
                      <w:b/>
                      <w:sz w:val="20"/>
                    </w:rPr>
                    <w:t xml:space="preserve"> w tym:</w:t>
                  </w:r>
                </w:p>
              </w:tc>
              <w:tc>
                <w:tcPr>
                  <w:tcW w:w="2699" w:type="dxa"/>
                  <w:tcBorders>
                    <w:bottom w:val="single" w:sz="4" w:space="0" w:color="auto"/>
                    <w:right w:val="single" w:sz="4" w:space="0" w:color="auto"/>
                  </w:tcBorders>
                  <w:noWrap/>
                  <w:vAlign w:val="bottom"/>
                </w:tcPr>
                <w:p w:rsidR="00EC757F" w:rsidRPr="003F6AB6" w:rsidRDefault="00EC757F" w:rsidP="00D977E6">
                  <w:pPr>
                    <w:jc w:val="center"/>
                    <w:rPr>
                      <w:rFonts w:ascii="Tahoma" w:hAnsi="Tahoma" w:cs="Tahoma"/>
                      <w:b/>
                      <w:sz w:val="20"/>
                    </w:rPr>
                  </w:pPr>
                  <w:r w:rsidRPr="003F6AB6">
                    <w:rPr>
                      <w:rFonts w:ascii="Tahoma" w:hAnsi="Tahoma" w:cs="Tahoma"/>
                      <w:b/>
                      <w:sz w:val="20"/>
                    </w:rPr>
                    <w:t>212 607,77</w:t>
                  </w:r>
                </w:p>
              </w:tc>
            </w:tr>
            <w:tr w:rsidR="00EC757F" w:rsidTr="00EA37C9">
              <w:trPr>
                <w:trHeight w:val="255"/>
              </w:trPr>
              <w:tc>
                <w:tcPr>
                  <w:tcW w:w="5415" w:type="dxa"/>
                  <w:tcBorders>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sz w:val="20"/>
                    </w:rPr>
                  </w:pPr>
                  <w:r w:rsidRPr="003F6AB6">
                    <w:rPr>
                      <w:rFonts w:ascii="Tahoma" w:hAnsi="Tahoma" w:cs="Tahoma"/>
                      <w:sz w:val="20"/>
                    </w:rPr>
                    <w:t xml:space="preserve">             Refundacja PARP 50%</w:t>
                  </w:r>
                </w:p>
              </w:tc>
              <w:tc>
                <w:tcPr>
                  <w:tcW w:w="2699" w:type="dxa"/>
                  <w:tcBorders>
                    <w:bottom w:val="single" w:sz="4" w:space="0" w:color="auto"/>
                    <w:right w:val="single" w:sz="4" w:space="0" w:color="auto"/>
                  </w:tcBorders>
                  <w:noWrap/>
                  <w:vAlign w:val="bottom"/>
                </w:tcPr>
                <w:p w:rsidR="00EC757F" w:rsidRPr="003F6AB6" w:rsidRDefault="00EC757F" w:rsidP="00D977E6">
                  <w:pPr>
                    <w:jc w:val="right"/>
                    <w:rPr>
                      <w:rFonts w:ascii="Tahoma" w:hAnsi="Tahoma" w:cs="Tahoma"/>
                      <w:sz w:val="20"/>
                    </w:rPr>
                  </w:pPr>
                  <w:r w:rsidRPr="003F6AB6">
                    <w:rPr>
                      <w:rFonts w:ascii="Tahoma" w:hAnsi="Tahoma" w:cs="Tahoma"/>
                      <w:sz w:val="20"/>
                    </w:rPr>
                    <w:t>106 303,88</w:t>
                  </w:r>
                </w:p>
              </w:tc>
            </w:tr>
            <w:tr w:rsidR="00EC757F" w:rsidTr="00EA37C9">
              <w:trPr>
                <w:trHeight w:val="461"/>
              </w:trPr>
              <w:tc>
                <w:tcPr>
                  <w:tcW w:w="5415" w:type="dxa"/>
                  <w:tcBorders>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b/>
                      <w:sz w:val="20"/>
                    </w:rPr>
                  </w:pPr>
                  <w:r w:rsidRPr="003F6AB6">
                    <w:rPr>
                      <w:rFonts w:ascii="Tahoma" w:hAnsi="Tahoma" w:cs="Tahoma"/>
                      <w:b/>
                      <w:sz w:val="20"/>
                    </w:rPr>
                    <w:t>Razem wydatki</w:t>
                  </w:r>
                </w:p>
              </w:tc>
              <w:tc>
                <w:tcPr>
                  <w:tcW w:w="2699" w:type="dxa"/>
                  <w:tcBorders>
                    <w:bottom w:val="single" w:sz="4" w:space="0" w:color="auto"/>
                    <w:right w:val="single" w:sz="4" w:space="0" w:color="auto"/>
                  </w:tcBorders>
                  <w:noWrap/>
                  <w:vAlign w:val="bottom"/>
                </w:tcPr>
                <w:p w:rsidR="00EC757F" w:rsidRPr="003F6AB6" w:rsidRDefault="00EC757F" w:rsidP="00D977E6">
                  <w:pPr>
                    <w:jc w:val="center"/>
                    <w:rPr>
                      <w:rFonts w:ascii="Tahoma" w:hAnsi="Tahoma" w:cs="Tahoma"/>
                      <w:b/>
                      <w:sz w:val="20"/>
                    </w:rPr>
                  </w:pPr>
                  <w:r w:rsidRPr="003F6AB6">
                    <w:rPr>
                      <w:rFonts w:ascii="Tahoma" w:hAnsi="Tahoma" w:cs="Tahoma"/>
                      <w:b/>
                      <w:sz w:val="20"/>
                    </w:rPr>
                    <w:t>2 252 285,46</w:t>
                  </w:r>
                </w:p>
              </w:tc>
            </w:tr>
            <w:tr w:rsidR="00EC757F" w:rsidTr="00EA37C9">
              <w:trPr>
                <w:trHeight w:val="480"/>
              </w:trPr>
              <w:tc>
                <w:tcPr>
                  <w:tcW w:w="5415" w:type="dxa"/>
                  <w:tcBorders>
                    <w:top w:val="single" w:sz="4" w:space="0" w:color="auto"/>
                    <w:left w:val="single" w:sz="4" w:space="0" w:color="auto"/>
                    <w:bottom w:val="single" w:sz="4" w:space="0" w:color="auto"/>
                    <w:right w:val="single" w:sz="4" w:space="0" w:color="auto"/>
                  </w:tcBorders>
                  <w:noWrap/>
                  <w:vAlign w:val="bottom"/>
                </w:tcPr>
                <w:p w:rsidR="00EC757F" w:rsidRPr="003F6AB6" w:rsidRDefault="00EC757F" w:rsidP="00D977E6">
                  <w:pPr>
                    <w:rPr>
                      <w:rFonts w:ascii="Tahoma" w:hAnsi="Tahoma" w:cs="Tahoma"/>
                      <w:b/>
                      <w:sz w:val="20"/>
                    </w:rPr>
                  </w:pPr>
                  <w:r w:rsidRPr="003F6AB6">
                    <w:rPr>
                      <w:rFonts w:ascii="Tahoma" w:hAnsi="Tahoma" w:cs="Tahoma"/>
                      <w:b/>
                      <w:sz w:val="20"/>
                    </w:rPr>
                    <w:t>Razem dotacja</w:t>
                  </w:r>
                </w:p>
              </w:tc>
              <w:tc>
                <w:tcPr>
                  <w:tcW w:w="2699" w:type="dxa"/>
                  <w:tcBorders>
                    <w:top w:val="single" w:sz="4" w:space="0" w:color="auto"/>
                    <w:left w:val="single" w:sz="4" w:space="0" w:color="auto"/>
                    <w:bottom w:val="single" w:sz="4" w:space="0" w:color="auto"/>
                    <w:right w:val="single" w:sz="4" w:space="0" w:color="auto"/>
                  </w:tcBorders>
                  <w:noWrap/>
                  <w:vAlign w:val="bottom"/>
                </w:tcPr>
                <w:p w:rsidR="00EC757F" w:rsidRPr="003F6AB6" w:rsidRDefault="00EC757F" w:rsidP="00D977E6">
                  <w:pPr>
                    <w:jc w:val="center"/>
                    <w:rPr>
                      <w:rFonts w:ascii="Tahoma" w:hAnsi="Tahoma" w:cs="Tahoma"/>
                      <w:b/>
                      <w:sz w:val="20"/>
                    </w:rPr>
                  </w:pPr>
                  <w:r w:rsidRPr="003F6AB6">
                    <w:rPr>
                      <w:rFonts w:ascii="Tahoma" w:hAnsi="Tahoma" w:cs="Tahoma"/>
                      <w:b/>
                      <w:sz w:val="20"/>
                    </w:rPr>
                    <w:t>1 330 110,49</w:t>
                  </w:r>
                </w:p>
              </w:tc>
            </w:tr>
          </w:tbl>
          <w:p w:rsidR="00EC757F" w:rsidRPr="00683072" w:rsidRDefault="00EC757F" w:rsidP="00D977E6">
            <w:pPr>
              <w:spacing w:after="120"/>
              <w:jc w:val="both"/>
              <w:rPr>
                <w:rFonts w:ascii="Tahoma" w:hAnsi="Tahoma" w:cs="Tahoma"/>
                <w:sz w:val="20"/>
              </w:rPr>
            </w:pPr>
          </w:p>
          <w:p w:rsidR="00EC757F" w:rsidRPr="00D977E6" w:rsidRDefault="00EC757F" w:rsidP="00D977E6">
            <w:pPr>
              <w:pStyle w:val="ListParagraph"/>
              <w:numPr>
                <w:ilvl w:val="0"/>
                <w:numId w:val="46"/>
              </w:numPr>
              <w:spacing w:after="120"/>
              <w:ind w:left="425" w:hanging="425"/>
              <w:jc w:val="both"/>
              <w:rPr>
                <w:rFonts w:ascii="Tahoma" w:hAnsi="Tahoma" w:cs="Tahoma"/>
                <w:b/>
                <w:sz w:val="20"/>
              </w:rPr>
            </w:pPr>
            <w:r w:rsidRPr="00D977E6">
              <w:rPr>
                <w:rFonts w:ascii="Tahoma" w:hAnsi="Tahoma" w:cs="Tahoma"/>
                <w:b/>
                <w:sz w:val="20"/>
              </w:rPr>
              <w:t>Podwyższenie kapitału zakładowego.</w:t>
            </w:r>
          </w:p>
          <w:p w:rsidR="00EC757F" w:rsidRPr="006D784E" w:rsidRDefault="00EC757F" w:rsidP="00D977E6">
            <w:pPr>
              <w:jc w:val="both"/>
              <w:rPr>
                <w:rFonts w:ascii="Tahoma" w:hAnsi="Tahoma" w:cs="Tahoma"/>
                <w:color w:val="000000"/>
                <w:sz w:val="20"/>
              </w:rPr>
            </w:pPr>
            <w:r w:rsidRPr="006D784E">
              <w:rPr>
                <w:rFonts w:ascii="Tahoma" w:hAnsi="Tahoma" w:cs="Tahoma"/>
                <w:color w:val="000000"/>
                <w:sz w:val="20"/>
              </w:rPr>
              <w:t xml:space="preserve">W dniu 18 marca 2009 r. została zawarta Umowa Inwestycyjna między: </w:t>
            </w:r>
            <w:r>
              <w:rPr>
                <w:rFonts w:ascii="Tahoma" w:hAnsi="Tahoma" w:cs="Tahoma"/>
                <w:color w:val="000000"/>
                <w:sz w:val="20"/>
              </w:rPr>
              <w:t xml:space="preserve">Braster Sp. z o.o., </w:t>
            </w:r>
            <w:r w:rsidRPr="006D784E">
              <w:rPr>
                <w:rFonts w:ascii="Tahoma" w:hAnsi="Tahoma" w:cs="Tahoma"/>
                <w:color w:val="000000"/>
                <w:sz w:val="20"/>
              </w:rPr>
              <w:t>dotychczasowymi wspólnikami Braster sp. z o.o.: (Jackiem Stępniem, Henrykiem Jaremkiem, Grzegorzem Pielakiem, Krzysztofem Czupryńskim Stanisławem Kłosowiczem</w:t>
            </w:r>
            <w:r>
              <w:rPr>
                <w:rFonts w:ascii="Tahoma" w:hAnsi="Tahoma" w:cs="Tahoma"/>
                <w:color w:val="000000"/>
                <w:sz w:val="20"/>
              </w:rPr>
              <w:t>)</w:t>
            </w:r>
            <w:r w:rsidRPr="006D784E">
              <w:rPr>
                <w:rFonts w:ascii="Tahoma" w:hAnsi="Tahoma" w:cs="Tahoma"/>
                <w:color w:val="000000"/>
                <w:sz w:val="20"/>
              </w:rPr>
              <w:t xml:space="preserve"> oraz inwestorami tj.  </w:t>
            </w:r>
            <w:r>
              <w:rPr>
                <w:rFonts w:ascii="Tahoma" w:hAnsi="Tahoma" w:cs="Tahoma"/>
                <w:color w:val="000000"/>
                <w:sz w:val="20"/>
              </w:rPr>
              <w:t>Emitentem i</w:t>
            </w:r>
            <w:r w:rsidRPr="006D784E">
              <w:rPr>
                <w:rFonts w:ascii="Tahoma" w:hAnsi="Tahoma" w:cs="Tahoma"/>
                <w:color w:val="000000"/>
                <w:sz w:val="20"/>
              </w:rPr>
              <w:t xml:space="preserve">  Fundacją „Centrum Innowacji FIRE</w:t>
            </w:r>
            <w:r>
              <w:rPr>
                <w:rFonts w:ascii="Tahoma" w:hAnsi="Tahoma" w:cs="Tahoma"/>
                <w:color w:val="000000"/>
                <w:sz w:val="20"/>
              </w:rPr>
              <w:t>”</w:t>
            </w:r>
            <w:r w:rsidRPr="006D784E">
              <w:rPr>
                <w:rFonts w:ascii="Tahoma" w:hAnsi="Tahoma" w:cs="Tahoma"/>
                <w:color w:val="000000"/>
                <w:sz w:val="20"/>
              </w:rPr>
              <w:t>.</w:t>
            </w:r>
          </w:p>
          <w:p w:rsidR="00EC757F" w:rsidRDefault="00EC757F" w:rsidP="00D977E6">
            <w:pPr>
              <w:jc w:val="both"/>
              <w:rPr>
                <w:rFonts w:ascii="Tahoma" w:hAnsi="Tahoma" w:cs="Tahoma"/>
                <w:color w:val="000000"/>
                <w:sz w:val="20"/>
              </w:rPr>
            </w:pPr>
            <w:r w:rsidRPr="007F771C">
              <w:rPr>
                <w:rFonts w:ascii="Tahoma" w:hAnsi="Tahoma" w:cs="Tahoma"/>
                <w:color w:val="000000"/>
                <w:sz w:val="20"/>
              </w:rPr>
              <w:t xml:space="preserve">Umowa Inwestycyjna przewidywała, iż z chwilą wypełnienia „obowiązków rejestracyjnych” (opisanych w § 5 ust. 1 Umowy Inwestycyjnej) </w:t>
            </w:r>
            <w:r>
              <w:rPr>
                <w:rFonts w:ascii="Tahoma" w:hAnsi="Tahoma" w:cs="Tahoma"/>
                <w:color w:val="000000"/>
                <w:sz w:val="20"/>
              </w:rPr>
              <w:t xml:space="preserve">oraz uzyskania wpisu </w:t>
            </w:r>
            <w:r w:rsidRPr="007F771C">
              <w:rPr>
                <w:rFonts w:ascii="Tahoma" w:hAnsi="Tahoma" w:cs="Tahoma"/>
                <w:color w:val="000000"/>
                <w:sz w:val="20"/>
              </w:rPr>
              <w:t xml:space="preserve"> produktu </w:t>
            </w:r>
            <w:r>
              <w:rPr>
                <w:rFonts w:ascii="Tahoma" w:hAnsi="Tahoma" w:cs="Tahoma"/>
                <w:color w:val="000000"/>
                <w:sz w:val="20"/>
              </w:rPr>
              <w:t>Tester Braster</w:t>
            </w:r>
            <w:r w:rsidRPr="007F771C">
              <w:rPr>
                <w:rFonts w:ascii="Tahoma" w:hAnsi="Tahoma" w:cs="Tahoma"/>
                <w:color w:val="000000"/>
                <w:sz w:val="20"/>
              </w:rPr>
              <w:t xml:space="preserve"> na listę wyrobów medycznych, zostanie dokonane, nie później niż do dnia 31 grudnia 2009 roku, podwyższenie kapitału zakładowego Braster Sp. z o.o. o kwotę 750.000,-PLN i objęcie w tak podwyższon</w:t>
            </w:r>
            <w:r>
              <w:rPr>
                <w:rFonts w:ascii="Tahoma" w:hAnsi="Tahoma" w:cs="Tahoma"/>
                <w:color w:val="000000"/>
                <w:sz w:val="20"/>
              </w:rPr>
              <w:t>ym kapitale zakładowym przez Emitenta</w:t>
            </w:r>
            <w:r w:rsidRPr="007F771C">
              <w:rPr>
                <w:rFonts w:ascii="Tahoma" w:hAnsi="Tahoma" w:cs="Tahoma"/>
                <w:color w:val="000000"/>
                <w:sz w:val="20"/>
              </w:rPr>
              <w:t xml:space="preserve"> dziewięciu nowoutworzonych udziałów</w:t>
            </w:r>
            <w:r>
              <w:rPr>
                <w:rFonts w:ascii="Tahoma" w:hAnsi="Tahoma" w:cs="Tahoma"/>
                <w:color w:val="000000"/>
                <w:sz w:val="20"/>
              </w:rPr>
              <w:t>.</w:t>
            </w:r>
            <w:r w:rsidRPr="007F771C">
              <w:rPr>
                <w:rFonts w:ascii="Tahoma" w:hAnsi="Tahoma" w:cs="Tahoma"/>
                <w:color w:val="000000"/>
                <w:sz w:val="20"/>
              </w:rPr>
              <w:t xml:space="preserve"> </w:t>
            </w:r>
          </w:p>
          <w:p w:rsidR="00EC757F" w:rsidRPr="007F771C" w:rsidRDefault="00EC757F" w:rsidP="00D977E6">
            <w:pPr>
              <w:jc w:val="both"/>
              <w:rPr>
                <w:rFonts w:ascii="Tahoma" w:hAnsi="Tahoma" w:cs="Tahoma"/>
                <w:color w:val="000000"/>
                <w:sz w:val="20"/>
              </w:rPr>
            </w:pPr>
            <w:r w:rsidRPr="007F771C">
              <w:rPr>
                <w:rFonts w:ascii="Tahoma" w:hAnsi="Tahoma" w:cs="Tahoma"/>
                <w:color w:val="000000"/>
                <w:sz w:val="20"/>
              </w:rPr>
              <w:t>Ponadto strony</w:t>
            </w:r>
            <w:r>
              <w:rPr>
                <w:rFonts w:ascii="Tahoma" w:hAnsi="Tahoma" w:cs="Tahoma"/>
                <w:color w:val="000000"/>
                <w:sz w:val="20"/>
              </w:rPr>
              <w:t xml:space="preserve"> tej umowy</w:t>
            </w:r>
            <w:r w:rsidRPr="007F771C">
              <w:rPr>
                <w:rFonts w:ascii="Tahoma" w:hAnsi="Tahoma" w:cs="Tahoma"/>
                <w:color w:val="000000"/>
                <w:sz w:val="20"/>
              </w:rPr>
              <w:t xml:space="preserve"> ustanowiły zobowiązanie Emitenta do udzielenia Braster Sp. z o.o. pożyczki celowej w kwocie 1,5 mln. zł. Pożyczka miała zostać udzielona w terminie do 30 dni od dnia objęcia przez Emitenta w Braster Sp. z o.o.  łącznie 50 % udziałów dających 50 % ogólnej liczby głosów.  </w:t>
            </w:r>
          </w:p>
          <w:p w:rsidR="00EC757F" w:rsidRDefault="00EC757F" w:rsidP="00D977E6">
            <w:pPr>
              <w:jc w:val="both"/>
              <w:rPr>
                <w:rFonts w:ascii="Tahoma" w:hAnsi="Tahoma" w:cs="Tahoma"/>
                <w:color w:val="000000"/>
                <w:sz w:val="20"/>
              </w:rPr>
            </w:pPr>
            <w:r w:rsidRPr="007F771C">
              <w:rPr>
                <w:rFonts w:ascii="Tahoma" w:hAnsi="Tahoma" w:cs="Tahoma"/>
                <w:color w:val="000000"/>
                <w:sz w:val="20"/>
              </w:rPr>
              <w:t xml:space="preserve">Uzyskanie wpisu </w:t>
            </w:r>
            <w:r>
              <w:rPr>
                <w:rFonts w:ascii="Tahoma" w:hAnsi="Tahoma" w:cs="Tahoma"/>
                <w:color w:val="000000"/>
                <w:sz w:val="20"/>
              </w:rPr>
              <w:t>T</w:t>
            </w:r>
            <w:r w:rsidRPr="007F771C">
              <w:rPr>
                <w:rFonts w:ascii="Tahoma" w:hAnsi="Tahoma" w:cs="Tahoma"/>
                <w:color w:val="000000"/>
                <w:sz w:val="20"/>
              </w:rPr>
              <w:t>estera Braster na listę wyrobów medycznych nastąpiło do</w:t>
            </w:r>
            <w:r>
              <w:rPr>
                <w:rFonts w:ascii="Tahoma" w:hAnsi="Tahoma" w:cs="Tahoma"/>
                <w:color w:val="000000"/>
                <w:sz w:val="20"/>
              </w:rPr>
              <w:t xml:space="preserve">piero w październiku 2010 r. </w:t>
            </w:r>
            <w:r w:rsidRPr="007F771C">
              <w:rPr>
                <w:rFonts w:ascii="Tahoma" w:hAnsi="Tahoma" w:cs="Tahoma"/>
                <w:color w:val="000000"/>
                <w:sz w:val="20"/>
              </w:rPr>
              <w:t>tj</w:t>
            </w:r>
            <w:r>
              <w:rPr>
                <w:rFonts w:ascii="Tahoma" w:hAnsi="Tahoma" w:cs="Tahoma"/>
                <w:color w:val="000000"/>
                <w:sz w:val="20"/>
              </w:rPr>
              <w:t>.</w:t>
            </w:r>
            <w:r w:rsidRPr="007F771C">
              <w:rPr>
                <w:rFonts w:ascii="Tahoma" w:hAnsi="Tahoma" w:cs="Tahoma"/>
                <w:color w:val="000000"/>
                <w:sz w:val="20"/>
              </w:rPr>
              <w:t xml:space="preserve"> znacząco po dacie zakreślonej dla warunkowego podwyższenia kapitału zakładowego</w:t>
            </w:r>
            <w:r>
              <w:rPr>
                <w:rFonts w:ascii="Tahoma" w:hAnsi="Tahoma" w:cs="Tahoma"/>
                <w:color w:val="000000"/>
                <w:sz w:val="20"/>
              </w:rPr>
              <w:t xml:space="preserve"> (31.12.2009 r.)</w:t>
            </w:r>
            <w:r w:rsidRPr="007F771C">
              <w:rPr>
                <w:rFonts w:ascii="Tahoma" w:hAnsi="Tahoma" w:cs="Tahoma"/>
                <w:color w:val="000000"/>
                <w:sz w:val="20"/>
              </w:rPr>
              <w:t>.</w:t>
            </w:r>
            <w:r>
              <w:rPr>
                <w:rFonts w:ascii="Tahoma" w:hAnsi="Tahoma" w:cs="Tahoma"/>
                <w:color w:val="000000"/>
                <w:sz w:val="20"/>
              </w:rPr>
              <w:t xml:space="preserve"> Tym samym z dniem tym wygasło umowne zobowiązanie Emitenta do podwyższenia kapitału zakładowego – na zasadach przewidzianych w Umowie Inwestycyjnej. Stan taki stał się przyczyną niepodjęcia uchwały przez NZW Braster Sp. z o.o. w dniu </w:t>
            </w:r>
            <w:r>
              <w:rPr>
                <w:rFonts w:ascii="Tahoma" w:hAnsi="Tahoma" w:cs="Tahoma"/>
                <w:sz w:val="20"/>
              </w:rPr>
              <w:t>24 listopada 2010 roku</w:t>
            </w:r>
            <w:r>
              <w:rPr>
                <w:rFonts w:ascii="Tahoma" w:hAnsi="Tahoma" w:cs="Tahoma"/>
                <w:color w:val="000000"/>
                <w:sz w:val="20"/>
              </w:rPr>
              <w:t xml:space="preserve">. </w:t>
            </w:r>
            <w:r w:rsidRPr="00C9077D">
              <w:rPr>
                <w:rFonts w:ascii="Tahoma" w:hAnsi="Tahoma" w:cs="Tahoma"/>
                <w:color w:val="000000"/>
                <w:sz w:val="20"/>
              </w:rPr>
              <w:t xml:space="preserve">Decyzja Emitenta uzasadniona została również treścią raportu </w:t>
            </w:r>
            <w:r>
              <w:rPr>
                <w:rFonts w:ascii="Tahoma" w:hAnsi="Tahoma" w:cs="Tahoma"/>
                <w:color w:val="000000"/>
                <w:sz w:val="20"/>
              </w:rPr>
              <w:t xml:space="preserve">o stanie Spółki </w:t>
            </w:r>
            <w:r w:rsidRPr="00C9077D">
              <w:rPr>
                <w:rFonts w:ascii="Tahoma" w:hAnsi="Tahoma" w:cs="Tahoma"/>
                <w:color w:val="000000"/>
                <w:sz w:val="20"/>
              </w:rPr>
              <w:t>przedstawionego na Zgromadzeniu Wspólników w dniu 20 października 2010 roku przez Prezesa Zarządu Spółki</w:t>
            </w:r>
            <w:r>
              <w:rPr>
                <w:rFonts w:ascii="Tahoma" w:hAnsi="Tahoma" w:cs="Tahoma"/>
                <w:color w:val="000000"/>
                <w:sz w:val="20"/>
              </w:rPr>
              <w:t xml:space="preserve">. Zwrócono w nim uwagę na niewłaściwe wydatkowanie </w:t>
            </w:r>
            <w:r w:rsidRPr="00C9077D">
              <w:rPr>
                <w:rFonts w:ascii="Tahoma" w:hAnsi="Tahoma" w:cs="Tahoma"/>
                <w:color w:val="000000"/>
                <w:sz w:val="20"/>
              </w:rPr>
              <w:t xml:space="preserve"> środków w okresie realizacji projektu tj. od kwietnia 2009 roku do 30 czerwca 2010 roku, </w:t>
            </w:r>
            <w:r>
              <w:rPr>
                <w:rFonts w:ascii="Tahoma" w:hAnsi="Tahoma" w:cs="Tahoma"/>
                <w:color w:val="000000"/>
                <w:sz w:val="20"/>
              </w:rPr>
              <w:t>gdzie</w:t>
            </w:r>
            <w:r w:rsidRPr="00C9077D">
              <w:rPr>
                <w:rFonts w:ascii="Tahoma" w:hAnsi="Tahoma" w:cs="Tahoma"/>
                <w:color w:val="000000"/>
                <w:sz w:val="20"/>
              </w:rPr>
              <w:t xml:space="preserve"> przekroczenie </w:t>
            </w:r>
            <w:r>
              <w:rPr>
                <w:rFonts w:ascii="Tahoma" w:hAnsi="Tahoma" w:cs="Tahoma"/>
                <w:color w:val="000000"/>
                <w:sz w:val="20"/>
              </w:rPr>
              <w:t>budżetu</w:t>
            </w:r>
            <w:r w:rsidRPr="00C9077D">
              <w:rPr>
                <w:rFonts w:ascii="Tahoma" w:hAnsi="Tahoma" w:cs="Tahoma"/>
                <w:color w:val="000000"/>
                <w:sz w:val="20"/>
              </w:rPr>
              <w:t xml:space="preserve"> przy realizacji I Etapu projektu w porównaniu z przyjętym biznesplanem wyniosło około 50%. Do dnia dzisiejszego były Zarząd nie złożył stosownych wyjaśnień.</w:t>
            </w:r>
            <w:r>
              <w:rPr>
                <w:rFonts w:ascii="Tahoma" w:hAnsi="Tahoma" w:cs="Tahoma"/>
                <w:color w:val="000000"/>
                <w:sz w:val="20"/>
              </w:rPr>
              <w:t xml:space="preserve"> Emitent stoi na stanowisku, iż uzupełnienie brakującej sumy na spłatę zaległych zobowiązań powinno pochodzić z proporcjonalnych wpłat wszystkich udziałowców, a nie tylko DGA. Jednak z uwagi na decyzję innych niż DGA S.A. wspólników, NZW Braster Sp. z o.o. nie podjęła  uchwały w sprawie podwyższenia kapitału zakładowego Braster Sp. z o.o. w zamian za wkład pieniężny w kwocie 1.200.000,-PLN. </w:t>
            </w:r>
          </w:p>
          <w:p w:rsidR="00EC757F" w:rsidRDefault="00EC757F" w:rsidP="00D977E6">
            <w:pPr>
              <w:jc w:val="both"/>
              <w:rPr>
                <w:rFonts w:ascii="Tahoma" w:hAnsi="Tahoma" w:cs="Tahoma"/>
                <w:color w:val="000000"/>
                <w:sz w:val="20"/>
              </w:rPr>
            </w:pPr>
            <w:r>
              <w:rPr>
                <w:rFonts w:ascii="Tahoma" w:hAnsi="Tahoma" w:cs="Tahoma"/>
                <w:color w:val="000000"/>
                <w:sz w:val="20"/>
              </w:rPr>
              <w:t>Na posiedzeniu Rady Nadzorczej Zarząd Spółki poinformował, iż  zwołał na dzień 29.03.2011 r. Zwyczajnego Zgromadzenia Wspólników Braster Sp. z o.o. ,celem którego będzie między innymi podwyższenie kapitału zakładowego Braster Sp. z o.o. przy utrzymaniu dotychczasowej struktury udziałowej. Tym samym planowanym jest podwyższenie kapitału zakładowego o kwotę 400.000,-PLN w zamian za wkład pieniężny oraz za aporty w postaci wierzytelności wspólników Braster Sp. z o.o. W przypadku podjęcia takiej uchwały pozwoli to na spłatę wszystkich przeterminowanych zobowiązań przed rozpoczęciem realizacji II Etapu Projektu.</w:t>
            </w:r>
          </w:p>
          <w:p w:rsidR="00EC757F" w:rsidRPr="002C0250" w:rsidRDefault="00EC757F" w:rsidP="00D977E6">
            <w:pPr>
              <w:jc w:val="both"/>
              <w:rPr>
                <w:rFonts w:ascii="Tahoma" w:hAnsi="Tahoma" w:cs="Tahoma"/>
                <w:b/>
                <w:color w:val="000000"/>
                <w:sz w:val="20"/>
              </w:rPr>
            </w:pPr>
          </w:p>
          <w:p w:rsidR="00EC757F" w:rsidRPr="002C0250" w:rsidRDefault="00EC757F" w:rsidP="00D977E6">
            <w:pPr>
              <w:pStyle w:val="ListParagraph"/>
              <w:numPr>
                <w:ilvl w:val="0"/>
                <w:numId w:val="46"/>
              </w:numPr>
              <w:spacing w:after="120"/>
              <w:ind w:left="425" w:hanging="425"/>
              <w:jc w:val="both"/>
              <w:rPr>
                <w:rFonts w:ascii="Tahoma" w:hAnsi="Tahoma" w:cs="Tahoma"/>
                <w:b/>
                <w:sz w:val="20"/>
              </w:rPr>
            </w:pPr>
            <w:r w:rsidRPr="002C0250">
              <w:rPr>
                <w:rFonts w:ascii="Tahoma" w:hAnsi="Tahoma" w:cs="Tahoma"/>
                <w:b/>
                <w:sz w:val="20"/>
              </w:rPr>
              <w:t>Zastaw ustawowy na aktywach Braster Sp. z o.o.</w:t>
            </w:r>
          </w:p>
          <w:p w:rsidR="00EC757F" w:rsidRDefault="00EC757F" w:rsidP="00D977E6">
            <w:pPr>
              <w:jc w:val="both"/>
              <w:rPr>
                <w:rFonts w:ascii="Tahoma" w:hAnsi="Tahoma" w:cs="Tahoma"/>
                <w:sz w:val="20"/>
              </w:rPr>
            </w:pPr>
            <w:r w:rsidRPr="00993DEA">
              <w:rPr>
                <w:rFonts w:ascii="Tahoma" w:hAnsi="Tahoma" w:cs="Tahoma"/>
                <w:color w:val="000000"/>
                <w:sz w:val="20"/>
              </w:rPr>
              <w:t>Emitent w związku z działaniami nadzorczymi Rady Nadzorczej (przy wyłączeniu indywidualnego prawa kontroli) pozyskał również informację o ustanowieniu zastawu ustawowego – art.. 670</w:t>
            </w:r>
            <w:r>
              <w:rPr>
                <w:rFonts w:ascii="Tahoma" w:hAnsi="Tahoma" w:cs="Tahoma"/>
                <w:color w:val="000000"/>
                <w:sz w:val="20"/>
              </w:rPr>
              <w:t xml:space="preserve"> Kc -  na aktywach </w:t>
            </w:r>
            <w:r w:rsidRPr="00993DEA">
              <w:rPr>
                <w:rFonts w:ascii="Tahoma" w:hAnsi="Tahoma" w:cs="Tahoma"/>
                <w:color w:val="000000"/>
                <w:sz w:val="20"/>
              </w:rPr>
              <w:t xml:space="preserve"> Braster Sp. z .o.o.  Zastawnikiem jest </w:t>
            </w:r>
            <w:r w:rsidRPr="00993DEA">
              <w:rPr>
                <w:rFonts w:ascii="Tahoma" w:hAnsi="Tahoma" w:cs="Tahoma"/>
                <w:sz w:val="20"/>
              </w:rPr>
              <w:t>GREHEN Sp. z o.o. reprezentowana przez Grzegorza Pielaka (również wspólnika Braster Sp. z o.o.). Przedmiotem zastawu są urzą</w:t>
            </w:r>
            <w:r>
              <w:rPr>
                <w:rFonts w:ascii="Tahoma" w:hAnsi="Tahoma" w:cs="Tahoma"/>
                <w:sz w:val="20"/>
              </w:rPr>
              <w:t xml:space="preserve">dzenia przeznaczone do doświadczalnego wytworzenia </w:t>
            </w:r>
            <w:r w:rsidRPr="00993DEA">
              <w:rPr>
                <w:rFonts w:ascii="Tahoma" w:hAnsi="Tahoma" w:cs="Tahoma"/>
                <w:sz w:val="20"/>
              </w:rPr>
              <w:t>Testera Braster</w:t>
            </w:r>
            <w:r>
              <w:rPr>
                <w:rFonts w:ascii="Tahoma" w:hAnsi="Tahoma" w:cs="Tahoma"/>
                <w:sz w:val="20"/>
              </w:rPr>
              <w:t xml:space="preserve"> w ramach prowadzonych prac rozwojowych</w:t>
            </w:r>
            <w:r w:rsidRPr="00993DEA">
              <w:rPr>
                <w:rFonts w:ascii="Tahoma" w:hAnsi="Tahoma" w:cs="Tahoma"/>
                <w:sz w:val="20"/>
              </w:rPr>
              <w:t xml:space="preserve">. Zastaw istnieje w związku z nieuregulowaniem przez Braster Sp. z o.o. czynszu najmu na kwotę </w:t>
            </w:r>
            <w:r>
              <w:rPr>
                <w:rFonts w:ascii="Tahoma" w:hAnsi="Tahoma" w:cs="Tahoma"/>
                <w:sz w:val="20"/>
              </w:rPr>
              <w:t>24 461 zł</w:t>
            </w:r>
            <w:r w:rsidRPr="00993DEA">
              <w:rPr>
                <w:rStyle w:val="CommentReference"/>
                <w:rFonts w:ascii="Tahoma" w:hAnsi="Tahoma" w:cs="Tahoma"/>
                <w:sz w:val="20"/>
              </w:rPr>
              <w:commentReference w:id="0"/>
            </w:r>
            <w:r>
              <w:rPr>
                <w:rFonts w:ascii="Tahoma" w:hAnsi="Tahoma" w:cs="Tahoma"/>
                <w:sz w:val="20"/>
              </w:rPr>
              <w:t xml:space="preserve"> </w:t>
            </w:r>
            <w:r w:rsidRPr="00993DEA">
              <w:rPr>
                <w:rFonts w:ascii="Tahoma" w:hAnsi="Tahoma" w:cs="Tahoma"/>
                <w:sz w:val="20"/>
              </w:rPr>
              <w:t>.</w:t>
            </w:r>
            <w:r>
              <w:rPr>
                <w:rFonts w:ascii="Tahoma" w:hAnsi="Tahoma" w:cs="Tahoma"/>
                <w:sz w:val="20"/>
              </w:rPr>
              <w:t xml:space="preserve"> </w:t>
            </w:r>
          </w:p>
          <w:p w:rsidR="00EC757F" w:rsidRPr="00993DEA" w:rsidRDefault="00EC757F" w:rsidP="00D977E6">
            <w:pPr>
              <w:jc w:val="both"/>
              <w:rPr>
                <w:rFonts w:ascii="Tahoma" w:hAnsi="Tahoma" w:cs="Tahoma"/>
                <w:sz w:val="20"/>
              </w:rPr>
            </w:pPr>
          </w:p>
          <w:p w:rsidR="00EC757F" w:rsidRPr="002C0250" w:rsidRDefault="00EC757F" w:rsidP="00D977E6">
            <w:pPr>
              <w:pStyle w:val="ListParagraph"/>
              <w:numPr>
                <w:ilvl w:val="0"/>
                <w:numId w:val="46"/>
              </w:numPr>
              <w:spacing w:after="120"/>
              <w:ind w:left="425" w:hanging="425"/>
              <w:jc w:val="both"/>
              <w:rPr>
                <w:rFonts w:ascii="Tahoma" w:hAnsi="Tahoma" w:cs="Tahoma"/>
                <w:b/>
                <w:sz w:val="20"/>
              </w:rPr>
            </w:pPr>
            <w:r w:rsidRPr="002C0250">
              <w:rPr>
                <w:rFonts w:ascii="Tahoma" w:hAnsi="Tahoma" w:cs="Tahoma"/>
                <w:b/>
                <w:sz w:val="20"/>
              </w:rPr>
              <w:t>Działalność operacyjna.</w:t>
            </w:r>
          </w:p>
          <w:p w:rsidR="00EC757F" w:rsidRDefault="00EC757F" w:rsidP="00D977E6">
            <w:pPr>
              <w:jc w:val="both"/>
              <w:rPr>
                <w:rFonts w:ascii="Tahoma" w:hAnsi="Tahoma" w:cs="Tahoma"/>
                <w:color w:val="000000"/>
                <w:sz w:val="20"/>
              </w:rPr>
            </w:pPr>
            <w:r w:rsidRPr="00A17BFF">
              <w:rPr>
                <w:rFonts w:ascii="Tahoma" w:hAnsi="Tahoma" w:cs="Tahoma"/>
                <w:color w:val="000000"/>
                <w:sz w:val="20"/>
              </w:rPr>
              <w:t>W dniu 01.03.2011 r. odbyła się Rada Nadzorcza</w:t>
            </w:r>
            <w:r>
              <w:rPr>
                <w:rFonts w:ascii="Tahoma" w:hAnsi="Tahoma" w:cs="Tahoma"/>
                <w:color w:val="000000"/>
                <w:sz w:val="20"/>
              </w:rPr>
              <w:t xml:space="preserve"> Braster Sp. z o.o.</w:t>
            </w:r>
            <w:r w:rsidRPr="00A17BFF">
              <w:rPr>
                <w:rFonts w:ascii="Tahoma" w:hAnsi="Tahoma" w:cs="Tahoma"/>
                <w:color w:val="000000"/>
                <w:sz w:val="20"/>
              </w:rPr>
              <w:t>, przedmiotem której było</w:t>
            </w:r>
            <w:r>
              <w:rPr>
                <w:rFonts w:ascii="Tahoma" w:hAnsi="Tahoma" w:cs="Tahoma"/>
                <w:color w:val="000000"/>
                <w:sz w:val="20"/>
              </w:rPr>
              <w:t xml:space="preserve"> między innymi </w:t>
            </w:r>
            <w:r w:rsidRPr="00A17BFF">
              <w:rPr>
                <w:rFonts w:ascii="Tahoma" w:hAnsi="Tahoma" w:cs="Tahoma"/>
                <w:color w:val="000000"/>
                <w:sz w:val="20"/>
              </w:rPr>
              <w:t xml:space="preserve"> omówienie kwestii badania przez zewnętrzny wyspecjalizowany podmiot możliwości wykorzystania posiadanego know-how dotyczącego technologii pro</w:t>
            </w:r>
            <w:r>
              <w:rPr>
                <w:rFonts w:ascii="Tahoma" w:hAnsi="Tahoma" w:cs="Tahoma"/>
                <w:color w:val="000000"/>
                <w:sz w:val="20"/>
              </w:rPr>
              <w:t>dukcji seryjnej Testera Braster.</w:t>
            </w:r>
          </w:p>
          <w:p w:rsidR="00EC757F" w:rsidRDefault="00EC757F" w:rsidP="00D977E6">
            <w:pPr>
              <w:jc w:val="both"/>
              <w:rPr>
                <w:rFonts w:ascii="Tahoma" w:hAnsi="Tahoma" w:cs="Tahoma"/>
                <w:color w:val="000000"/>
                <w:sz w:val="20"/>
              </w:rPr>
            </w:pPr>
            <w:r>
              <w:rPr>
                <w:rFonts w:ascii="Tahoma" w:hAnsi="Tahoma" w:cs="Tahoma"/>
                <w:color w:val="000000"/>
                <w:sz w:val="20"/>
              </w:rPr>
              <w:t xml:space="preserve">Zgodnie z uzyskanymi deklaracjami, Zarząd zleci wykonanie ekspertyzy dot. możliwości i sposobu wykorzystania know – how Braster Sp. z o.o. w produkcji seryjnej Testera Braster. Celem ekspertyzy będzie oszacowanie środków finansowych niezbędnych do tej produkcji jak również potrzeb Braster Sp. z o.o. w zakresie wyspecjalizowanej kadry. </w:t>
            </w:r>
          </w:p>
          <w:p w:rsidR="00EC757F" w:rsidRDefault="00EC757F" w:rsidP="00D977E6">
            <w:pPr>
              <w:spacing w:after="120"/>
              <w:jc w:val="both"/>
              <w:rPr>
                <w:rFonts w:ascii="Tahoma" w:hAnsi="Tahoma" w:cs="Tahoma"/>
                <w:sz w:val="20"/>
              </w:rPr>
            </w:pPr>
            <w:r>
              <w:rPr>
                <w:rFonts w:ascii="Tahoma" w:hAnsi="Tahoma" w:cs="Tahoma"/>
                <w:sz w:val="20"/>
              </w:rPr>
              <w:t>Po zakończeniu rozliczeń w PARP działanie 1.4 oraz po audycie technologicznym, Zarząd Spółki wg informacji pozyskanych na posiedzeniu Rady Nadzorczej podejmie działania ukierunkowane na powołanie zespołu który przygotuje proces uruchomienia produkcji (wykorzystane zostaną wówczas środki PARP z działania 4.1. - po podpisaniu aneksów do umowy).</w:t>
            </w:r>
          </w:p>
          <w:p w:rsidR="00EC757F" w:rsidRDefault="00EC757F" w:rsidP="00D977E6">
            <w:pPr>
              <w:spacing w:after="120"/>
              <w:jc w:val="both"/>
              <w:rPr>
                <w:rFonts w:ascii="Tahoma" w:hAnsi="Tahoma" w:cs="Tahoma"/>
                <w:sz w:val="20"/>
              </w:rPr>
            </w:pPr>
            <w:r w:rsidRPr="002C0250">
              <w:rPr>
                <w:rFonts w:ascii="Tahoma" w:hAnsi="Tahoma" w:cs="Tahoma"/>
                <w:b/>
                <w:sz w:val="20"/>
              </w:rPr>
              <w:t>6.</w:t>
            </w:r>
            <w:r>
              <w:rPr>
                <w:rFonts w:ascii="Tahoma" w:hAnsi="Tahoma" w:cs="Tahoma"/>
                <w:sz w:val="20"/>
              </w:rPr>
              <w:t xml:space="preserve">       </w:t>
            </w:r>
            <w:r w:rsidRPr="002C0250">
              <w:rPr>
                <w:rFonts w:ascii="Tahoma" w:hAnsi="Tahoma" w:cs="Tahoma"/>
                <w:b/>
                <w:sz w:val="20"/>
              </w:rPr>
              <w:t>Pozyskanie inwestorów do Spółki Braster.</w:t>
            </w:r>
          </w:p>
          <w:p w:rsidR="00EC757F" w:rsidRPr="00A17BFF" w:rsidRDefault="00EC757F" w:rsidP="00D977E6">
            <w:pPr>
              <w:spacing w:after="120"/>
              <w:jc w:val="both"/>
              <w:rPr>
                <w:rFonts w:ascii="Tahoma" w:hAnsi="Tahoma" w:cs="Tahoma"/>
                <w:sz w:val="20"/>
              </w:rPr>
            </w:pPr>
            <w:r>
              <w:rPr>
                <w:rFonts w:ascii="Tahoma" w:hAnsi="Tahoma" w:cs="Tahoma"/>
                <w:sz w:val="20"/>
              </w:rPr>
              <w:t>W związku z brakiem porozumienia pomiędzy wspólnikami Spółki dotyczącymi dalszego finansowania jej rozwoju, Rada Nadzorcza wyraziła zgodę na dopuszczenie do badania Spółki przez inwestorów zainteresowanych inwestycją kapitałową w Spółkę Braster.</w:t>
            </w:r>
          </w:p>
          <w:p w:rsidR="00EC757F" w:rsidRDefault="00EC757F" w:rsidP="00B67221">
            <w:pPr>
              <w:spacing w:line="360" w:lineRule="auto"/>
              <w:jc w:val="both"/>
              <w:rPr>
                <w:rFonts w:ascii="Tahoma" w:hAnsi="Tahoma" w:cs="Tahoma"/>
              </w:rPr>
            </w:pPr>
          </w:p>
          <w:p w:rsidR="00EC757F" w:rsidRDefault="00EC757F" w:rsidP="00D11F89">
            <w:pPr>
              <w:jc w:val="both"/>
              <w:rPr>
                <w:rFonts w:ascii="Tahoma" w:hAnsi="Tahoma" w:cs="Tahoma"/>
                <w:sz w:val="20"/>
              </w:rPr>
            </w:pPr>
          </w:p>
          <w:p w:rsidR="00EC757F" w:rsidRDefault="00EC757F" w:rsidP="00D11F89">
            <w:pPr>
              <w:jc w:val="both"/>
              <w:rPr>
                <w:rFonts w:ascii="Tahoma" w:hAnsi="Tahoma" w:cs="Tahoma"/>
                <w:sz w:val="20"/>
              </w:rPr>
            </w:pPr>
          </w:p>
          <w:p w:rsidR="00EC757F" w:rsidRDefault="00EC757F" w:rsidP="00D11F89">
            <w:pPr>
              <w:jc w:val="both"/>
              <w:rPr>
                <w:rFonts w:ascii="Tahoma" w:hAnsi="Tahoma" w:cs="Tahoma"/>
                <w:sz w:val="20"/>
              </w:rPr>
            </w:pPr>
          </w:p>
          <w:p w:rsidR="00EC757F" w:rsidRPr="008A51FB" w:rsidRDefault="00EC757F" w:rsidP="004618AB">
            <w:pPr>
              <w:jc w:val="both"/>
              <w:rPr>
                <w:rFonts w:ascii="Tahoma" w:hAnsi="Tahoma" w:cs="Tahoma"/>
                <w:sz w:val="20"/>
              </w:rPr>
            </w:pPr>
          </w:p>
        </w:tc>
      </w:tr>
      <w:tr w:rsidR="00EC757F" w:rsidRPr="00AF2262" w:rsidTr="00120F2A">
        <w:trPr>
          <w:trHeight w:val="421"/>
        </w:trPr>
        <w:tc>
          <w:tcPr>
            <w:tcW w:w="9648" w:type="dxa"/>
            <w:gridSpan w:val="2"/>
          </w:tcPr>
          <w:p w:rsidR="00EC757F" w:rsidRPr="007F1C0C" w:rsidRDefault="00EC757F" w:rsidP="00D11F89">
            <w:pPr>
              <w:autoSpaceDE w:val="0"/>
              <w:autoSpaceDN w:val="0"/>
              <w:adjustRightInd w:val="0"/>
              <w:rPr>
                <w:rFonts w:ascii="Tahoma" w:hAnsi="Tahoma" w:cs="Tahoma"/>
                <w:sz w:val="20"/>
              </w:rPr>
            </w:pPr>
            <w:r>
              <w:rPr>
                <w:rFonts w:ascii="Tahoma" w:hAnsi="Tahoma" w:cs="Tahoma"/>
                <w:sz w:val="20"/>
              </w:rPr>
              <w:t>Podstawa prawna: artykuł 56 ust. 1 pkt 1</w:t>
            </w:r>
            <w:r w:rsidRPr="00C24AFD">
              <w:rPr>
                <w:rFonts w:ascii="Tahoma" w:hAnsi="Tahoma" w:cs="Tahoma"/>
                <w:sz w:val="20"/>
              </w:rPr>
              <w:t xml:space="preserve"> </w:t>
            </w:r>
            <w:r>
              <w:rPr>
                <w:rFonts w:ascii="Tahoma" w:hAnsi="Tahoma" w:cs="Tahoma"/>
                <w:sz w:val="20"/>
              </w:rPr>
              <w:t>u</w:t>
            </w:r>
            <w:r w:rsidRPr="00C24AFD">
              <w:rPr>
                <w:rFonts w:ascii="Tahoma" w:hAnsi="Tahoma" w:cs="Tahoma"/>
                <w:sz w:val="20"/>
              </w:rPr>
              <w:t>stawy o ofercie</w:t>
            </w:r>
          </w:p>
        </w:tc>
      </w:tr>
      <w:tr w:rsidR="00EC757F" w:rsidRPr="00AF2262" w:rsidTr="00120F2A">
        <w:trPr>
          <w:trHeight w:val="347"/>
        </w:trPr>
        <w:tc>
          <w:tcPr>
            <w:tcW w:w="9648" w:type="dxa"/>
            <w:gridSpan w:val="2"/>
          </w:tcPr>
          <w:p w:rsidR="00EC757F" w:rsidRPr="00AF2262" w:rsidRDefault="00EC757F" w:rsidP="00120F2A">
            <w:pPr>
              <w:rPr>
                <w:rFonts w:ascii="Tahoma" w:hAnsi="Tahoma" w:cs="Tahoma"/>
                <w:sz w:val="20"/>
              </w:rPr>
            </w:pPr>
            <w:r w:rsidRPr="00AF2262">
              <w:rPr>
                <w:rFonts w:ascii="Tahoma" w:hAnsi="Tahoma" w:cs="Tahoma"/>
                <w:sz w:val="20"/>
              </w:rPr>
              <w:t>Podpis osoby upoważnionej do reprezentowania Emitenta:</w:t>
            </w:r>
          </w:p>
        </w:tc>
      </w:tr>
      <w:tr w:rsidR="00EC757F" w:rsidRPr="00AF2262" w:rsidTr="00120F2A">
        <w:trPr>
          <w:trHeight w:val="706"/>
        </w:trPr>
        <w:tc>
          <w:tcPr>
            <w:tcW w:w="9648" w:type="dxa"/>
            <w:gridSpan w:val="2"/>
          </w:tcPr>
          <w:p w:rsidR="00EC757F" w:rsidRPr="00AF2262" w:rsidRDefault="00EC757F" w:rsidP="00120F2A">
            <w:pPr>
              <w:rPr>
                <w:rFonts w:ascii="Tahoma" w:hAnsi="Tahoma" w:cs="Tahoma"/>
                <w:b/>
                <w:sz w:val="20"/>
              </w:rPr>
            </w:pPr>
          </w:p>
          <w:p w:rsidR="00EC757F" w:rsidRPr="00AF2262" w:rsidRDefault="00EC757F" w:rsidP="00120F2A">
            <w:pPr>
              <w:rPr>
                <w:rFonts w:ascii="Tahoma" w:hAnsi="Tahoma" w:cs="Tahoma"/>
                <w:b/>
                <w:sz w:val="20"/>
              </w:rPr>
            </w:pPr>
            <w:r w:rsidRPr="00AF2262">
              <w:rPr>
                <w:rFonts w:ascii="Tahoma" w:hAnsi="Tahoma" w:cs="Tahoma"/>
                <w:b/>
                <w:sz w:val="20"/>
              </w:rPr>
              <w:tab/>
            </w:r>
            <w:r>
              <w:rPr>
                <w:rFonts w:ascii="Tahoma" w:hAnsi="Tahoma" w:cs="Tahoma"/>
                <w:b/>
                <w:sz w:val="20"/>
              </w:rPr>
              <w:t>Andrzej Głowacki</w:t>
            </w:r>
          </w:p>
          <w:p w:rsidR="00EC757F" w:rsidRPr="00AF2262" w:rsidRDefault="00EC757F" w:rsidP="00120F2A">
            <w:pPr>
              <w:rPr>
                <w:rFonts w:ascii="Tahoma" w:hAnsi="Tahoma" w:cs="Tahoma"/>
                <w:b/>
                <w:sz w:val="20"/>
              </w:rPr>
            </w:pPr>
          </w:p>
          <w:p w:rsidR="00EC757F" w:rsidRPr="00AF2262" w:rsidRDefault="00EC757F" w:rsidP="009000AC">
            <w:pPr>
              <w:rPr>
                <w:rFonts w:ascii="Tahoma" w:hAnsi="Tahoma" w:cs="Tahoma"/>
                <w:b/>
                <w:sz w:val="20"/>
              </w:rPr>
            </w:pPr>
            <w:r>
              <w:rPr>
                <w:rFonts w:ascii="Tahoma" w:hAnsi="Tahoma" w:cs="Tahoma"/>
                <w:b/>
                <w:sz w:val="20"/>
              </w:rPr>
              <w:t xml:space="preserve">              Prezes Zarządu</w:t>
            </w:r>
          </w:p>
        </w:tc>
      </w:tr>
    </w:tbl>
    <w:p w:rsidR="00EC757F" w:rsidRPr="004C5D3A" w:rsidRDefault="00EC757F" w:rsidP="004C5D3A"/>
    <w:sectPr w:rsidR="00EC757F" w:rsidRPr="004C5D3A" w:rsidSect="007140B9">
      <w:footerReference w:type="default" r:id="rId8"/>
      <w:headerReference w:type="first" r:id="rId9"/>
      <w:footerReference w:type="first" r:id="rId10"/>
      <w:pgSz w:w="11906" w:h="16838" w:code="9"/>
      <w:pgMar w:top="1418" w:right="1162" w:bottom="1418" w:left="1162" w:header="510" w:footer="794"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_sroka" w:date="2011-03-08T15:18:00Z" w:initials="r">
    <w:p w:rsidR="00EC757F" w:rsidRDefault="00EC757F" w:rsidP="00B67221">
      <w:pPr>
        <w:pStyle w:val="CommentText"/>
      </w:pPr>
      <w:r>
        <w:rPr>
          <w:rStyle w:val="CommentReference"/>
        </w:rPr>
        <w:annotationRef/>
      </w:r>
      <w:r>
        <w:t>Chodzi o sumę czynszu z którym zalegamy nie dłużej niż rok.</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57F" w:rsidRDefault="00EC757F">
      <w:r>
        <w:separator/>
      </w:r>
    </w:p>
  </w:endnote>
  <w:endnote w:type="continuationSeparator" w:id="0">
    <w:p w:rsidR="00EC757F" w:rsidRDefault="00EC75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57F" w:rsidRDefault="00EC757F">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2049" type="#_x0000_t75" alt="stopka-kontynuacja" style="position:absolute;margin-left:-9pt;margin-top:-33.3pt;width:504.85pt;height:92.1pt;z-index:251660288;visibility:visible">
          <v:imagedata r:id="rId1" o:titl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57F" w:rsidRPr="00C64F4A" w:rsidRDefault="00EC757F" w:rsidP="005355AA">
    <w:pPr>
      <w:pStyle w:val="Footer"/>
      <w:jc w:val="both"/>
      <w:rPr>
        <w:sz w:val="20"/>
      </w:rPr>
    </w:pPr>
  </w:p>
  <w:p w:rsidR="00EC757F" w:rsidRPr="00F96658" w:rsidRDefault="00EC757F" w:rsidP="00EE3C7F">
    <w:pPr>
      <w:pStyle w:val="Footer"/>
      <w:jc w:val="center"/>
      <w:rPr>
        <w:rFonts w:ascii="Tahoma" w:hAnsi="Tahoma" w:cs="Tahoma"/>
        <w:sz w:val="16"/>
        <w:szCs w:val="16"/>
      </w:rPr>
    </w:pPr>
    <w:r w:rsidRPr="00217DB7">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453.75pt;height:107.2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57F" w:rsidRDefault="00EC757F">
      <w:r>
        <w:separator/>
      </w:r>
    </w:p>
  </w:footnote>
  <w:footnote w:type="continuationSeparator" w:id="0">
    <w:p w:rsidR="00EC757F" w:rsidRDefault="00EC75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57F" w:rsidRPr="00F96658" w:rsidRDefault="00EC757F" w:rsidP="00F96658">
    <w:pPr>
      <w:pStyle w:val="Header"/>
      <w:rPr>
        <w:rFonts w:ascii="Tahoma" w:hAnsi="Tahoma" w:cs="Tahoma"/>
        <w:sz w:val="16"/>
        <w:szCs w:val="18"/>
      </w:rPr>
    </w:pPr>
  </w:p>
  <w:p w:rsidR="00EC757F" w:rsidRPr="00F96658" w:rsidRDefault="00EC757F">
    <w:pPr>
      <w:pStyle w:val="Header"/>
      <w:rPr>
        <w:rFonts w:ascii="Tahoma" w:hAnsi="Tahoma" w:cs="Tahoma"/>
        <w:sz w:val="20"/>
        <w:szCs w:val="16"/>
      </w:rPr>
    </w:pPr>
    <w:r w:rsidRPr="00217DB7">
      <w:rPr>
        <w:rFonts w:ascii="Tahoma" w:hAnsi="Tahoma" w:cs="Tahoma"/>
        <w:noProof/>
        <w:sz w:val="16"/>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alt="logo_DGA_2010_male_sRGB" style="width:138pt;height:96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C83"/>
    <w:multiLevelType w:val="hybridMultilevel"/>
    <w:tmpl w:val="9816F0B8"/>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CB93D3C"/>
    <w:multiLevelType w:val="hybridMultilevel"/>
    <w:tmpl w:val="69681AAE"/>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D4F3D95"/>
    <w:multiLevelType w:val="hybridMultilevel"/>
    <w:tmpl w:val="89B8F5CE"/>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F793620"/>
    <w:multiLevelType w:val="hybridMultilevel"/>
    <w:tmpl w:val="B0A407D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FFF4FC8"/>
    <w:multiLevelType w:val="hybridMultilevel"/>
    <w:tmpl w:val="A4B06F2E"/>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1C01E9E"/>
    <w:multiLevelType w:val="hybridMultilevel"/>
    <w:tmpl w:val="A796AA0E"/>
    <w:lvl w:ilvl="0" w:tplc="E5E8AC70">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87E417C"/>
    <w:multiLevelType w:val="hybridMultilevel"/>
    <w:tmpl w:val="EDC42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A2D56AB"/>
    <w:multiLevelType w:val="hybridMultilevel"/>
    <w:tmpl w:val="DA5EEEB0"/>
    <w:lvl w:ilvl="0" w:tplc="407EAF14">
      <w:start w:val="1"/>
      <w:numFmt w:val="decimal"/>
      <w:lvlText w:val="%1."/>
      <w:lvlJc w:val="left"/>
      <w:pPr>
        <w:tabs>
          <w:tab w:val="num" w:pos="720"/>
        </w:tabs>
        <w:ind w:left="720" w:hanging="360"/>
      </w:pPr>
      <w:rPr>
        <w:rFonts w:cs="Times New Roman" w:hint="default"/>
        <w:b w:val="0"/>
        <w:i w:val="0"/>
      </w:rPr>
    </w:lvl>
    <w:lvl w:ilvl="1" w:tplc="614AD09E">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2A718E0"/>
    <w:multiLevelType w:val="hybridMultilevel"/>
    <w:tmpl w:val="1A56B782"/>
    <w:lvl w:ilvl="0" w:tplc="E2685084">
      <w:start w:val="1"/>
      <w:numFmt w:val="decimal"/>
      <w:lvlText w:val="%1."/>
      <w:lvlJc w:val="left"/>
      <w:pPr>
        <w:ind w:left="360" w:hanging="360"/>
      </w:pPr>
      <w:rPr>
        <w:rFonts w:ascii="Tahoma" w:hAnsi="Tahoma" w:cs="Times New Roman" w:hint="default"/>
        <w:b/>
        <w:i w:val="0"/>
        <w:sz w:val="16"/>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A67680F"/>
    <w:multiLevelType w:val="hybridMultilevel"/>
    <w:tmpl w:val="A89E5834"/>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0">
    <w:nsid w:val="2BE415A4"/>
    <w:multiLevelType w:val="hybridMultilevel"/>
    <w:tmpl w:val="EF5EAB6E"/>
    <w:lvl w:ilvl="0" w:tplc="117AFB30">
      <w:start w:val="1"/>
      <w:numFmt w:val="decimal"/>
      <w:lvlText w:val="%1."/>
      <w:lvlJc w:val="left"/>
      <w:pPr>
        <w:ind w:left="720" w:hanging="360"/>
      </w:pPr>
      <w:rPr>
        <w:rFonts w:ascii="Tahoma" w:hAnsi="Tahoma" w:cs="Times New Roman" w:hint="default"/>
        <w:b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2C90720"/>
    <w:multiLevelType w:val="hybridMultilevel"/>
    <w:tmpl w:val="54247CE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34887CDA"/>
    <w:multiLevelType w:val="hybridMultilevel"/>
    <w:tmpl w:val="F45AE15E"/>
    <w:lvl w:ilvl="0" w:tplc="E5E8AC70">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6017FB3"/>
    <w:multiLevelType w:val="hybridMultilevel"/>
    <w:tmpl w:val="A1FE07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3708788C"/>
    <w:multiLevelType w:val="hybridMultilevel"/>
    <w:tmpl w:val="CFC8C8E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993778E"/>
    <w:multiLevelType w:val="hybridMultilevel"/>
    <w:tmpl w:val="EE6099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B8058C4"/>
    <w:multiLevelType w:val="hybridMultilevel"/>
    <w:tmpl w:val="398E4A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DA53196"/>
    <w:multiLevelType w:val="hybridMultilevel"/>
    <w:tmpl w:val="F0EA0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EE7579F"/>
    <w:multiLevelType w:val="hybridMultilevel"/>
    <w:tmpl w:val="F024181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1384FEF"/>
    <w:multiLevelType w:val="hybridMultilevel"/>
    <w:tmpl w:val="B900C5DA"/>
    <w:lvl w:ilvl="0" w:tplc="F58EE754">
      <w:start w:val="1"/>
      <w:numFmt w:val="lowerLetter"/>
      <w:lvlText w:val="%1)"/>
      <w:lvlJc w:val="left"/>
      <w:pPr>
        <w:ind w:left="1004" w:hanging="360"/>
      </w:pPr>
      <w:rPr>
        <w:rFonts w:cs="Times New Roman" w:hint="default"/>
        <w:b/>
        <w:i w:val="0"/>
        <w:sz w:val="16"/>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nsid w:val="42DA5D4C"/>
    <w:multiLevelType w:val="hybridMultilevel"/>
    <w:tmpl w:val="D7C09D94"/>
    <w:lvl w:ilvl="0" w:tplc="F58EE754">
      <w:start w:val="1"/>
      <w:numFmt w:val="lowerLetter"/>
      <w:lvlText w:val="%1)"/>
      <w:lvlJc w:val="left"/>
      <w:pPr>
        <w:ind w:left="908" w:hanging="360"/>
      </w:pPr>
      <w:rPr>
        <w:rFonts w:cs="Times New Roman" w:hint="default"/>
        <w:b/>
        <w:i w:val="0"/>
        <w:sz w:val="16"/>
      </w:rPr>
    </w:lvl>
    <w:lvl w:ilvl="1" w:tplc="04150019" w:tentative="1">
      <w:start w:val="1"/>
      <w:numFmt w:val="lowerLetter"/>
      <w:lvlText w:val="%2."/>
      <w:lvlJc w:val="left"/>
      <w:pPr>
        <w:ind w:left="1628" w:hanging="360"/>
      </w:pPr>
      <w:rPr>
        <w:rFonts w:cs="Times New Roman"/>
      </w:rPr>
    </w:lvl>
    <w:lvl w:ilvl="2" w:tplc="0415001B" w:tentative="1">
      <w:start w:val="1"/>
      <w:numFmt w:val="lowerRoman"/>
      <w:lvlText w:val="%3."/>
      <w:lvlJc w:val="right"/>
      <w:pPr>
        <w:ind w:left="2348" w:hanging="180"/>
      </w:pPr>
      <w:rPr>
        <w:rFonts w:cs="Times New Roman"/>
      </w:rPr>
    </w:lvl>
    <w:lvl w:ilvl="3" w:tplc="0415000F" w:tentative="1">
      <w:start w:val="1"/>
      <w:numFmt w:val="decimal"/>
      <w:lvlText w:val="%4."/>
      <w:lvlJc w:val="left"/>
      <w:pPr>
        <w:ind w:left="3068" w:hanging="360"/>
      </w:pPr>
      <w:rPr>
        <w:rFonts w:cs="Times New Roman"/>
      </w:rPr>
    </w:lvl>
    <w:lvl w:ilvl="4" w:tplc="04150019" w:tentative="1">
      <w:start w:val="1"/>
      <w:numFmt w:val="lowerLetter"/>
      <w:lvlText w:val="%5."/>
      <w:lvlJc w:val="left"/>
      <w:pPr>
        <w:ind w:left="3788" w:hanging="360"/>
      </w:pPr>
      <w:rPr>
        <w:rFonts w:cs="Times New Roman"/>
      </w:rPr>
    </w:lvl>
    <w:lvl w:ilvl="5" w:tplc="0415001B" w:tentative="1">
      <w:start w:val="1"/>
      <w:numFmt w:val="lowerRoman"/>
      <w:lvlText w:val="%6."/>
      <w:lvlJc w:val="right"/>
      <w:pPr>
        <w:ind w:left="4508" w:hanging="180"/>
      </w:pPr>
      <w:rPr>
        <w:rFonts w:cs="Times New Roman"/>
      </w:rPr>
    </w:lvl>
    <w:lvl w:ilvl="6" w:tplc="0415000F" w:tentative="1">
      <w:start w:val="1"/>
      <w:numFmt w:val="decimal"/>
      <w:lvlText w:val="%7."/>
      <w:lvlJc w:val="left"/>
      <w:pPr>
        <w:ind w:left="5228" w:hanging="360"/>
      </w:pPr>
      <w:rPr>
        <w:rFonts w:cs="Times New Roman"/>
      </w:rPr>
    </w:lvl>
    <w:lvl w:ilvl="7" w:tplc="04150019" w:tentative="1">
      <w:start w:val="1"/>
      <w:numFmt w:val="lowerLetter"/>
      <w:lvlText w:val="%8."/>
      <w:lvlJc w:val="left"/>
      <w:pPr>
        <w:ind w:left="5948" w:hanging="360"/>
      </w:pPr>
      <w:rPr>
        <w:rFonts w:cs="Times New Roman"/>
      </w:rPr>
    </w:lvl>
    <w:lvl w:ilvl="8" w:tplc="0415001B" w:tentative="1">
      <w:start w:val="1"/>
      <w:numFmt w:val="lowerRoman"/>
      <w:lvlText w:val="%9."/>
      <w:lvlJc w:val="right"/>
      <w:pPr>
        <w:ind w:left="6668" w:hanging="180"/>
      </w:pPr>
      <w:rPr>
        <w:rFonts w:cs="Times New Roman"/>
      </w:rPr>
    </w:lvl>
  </w:abstractNum>
  <w:abstractNum w:abstractNumId="21">
    <w:nsid w:val="44C62231"/>
    <w:multiLevelType w:val="multilevel"/>
    <w:tmpl w:val="2B2CA4F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5A877C0"/>
    <w:multiLevelType w:val="hybridMultilevel"/>
    <w:tmpl w:val="8A9ABF02"/>
    <w:lvl w:ilvl="0" w:tplc="F58EE754">
      <w:start w:val="1"/>
      <w:numFmt w:val="lowerLetter"/>
      <w:lvlText w:val="%1)"/>
      <w:lvlJc w:val="left"/>
      <w:pPr>
        <w:tabs>
          <w:tab w:val="num" w:pos="720"/>
        </w:tabs>
        <w:ind w:left="720" w:hanging="360"/>
      </w:pPr>
      <w:rPr>
        <w:rFonts w:cs="Times New Roman" w:hint="default"/>
        <w:b/>
        <w:i w:val="0"/>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6AD2640"/>
    <w:multiLevelType w:val="hybridMultilevel"/>
    <w:tmpl w:val="02E0BA7C"/>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7AF3594"/>
    <w:multiLevelType w:val="hybridMultilevel"/>
    <w:tmpl w:val="51BC1BE4"/>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49406C40"/>
    <w:multiLevelType w:val="hybridMultilevel"/>
    <w:tmpl w:val="F3E4F7F0"/>
    <w:lvl w:ilvl="0" w:tplc="0415000F">
      <w:start w:val="1"/>
      <w:numFmt w:val="decimal"/>
      <w:lvlText w:val="%1."/>
      <w:lvlJc w:val="left"/>
      <w:pPr>
        <w:tabs>
          <w:tab w:val="num" w:pos="720"/>
        </w:tabs>
        <w:ind w:left="720" w:hanging="360"/>
      </w:pPr>
      <w:rPr>
        <w:rFonts w:cs="Times New Roman"/>
      </w:rPr>
    </w:lvl>
    <w:lvl w:ilvl="1" w:tplc="14602D00">
      <w:start w:val="1"/>
      <w:numFmt w:val="lowerLetter"/>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4B7331A6"/>
    <w:multiLevelType w:val="hybridMultilevel"/>
    <w:tmpl w:val="B0B47438"/>
    <w:lvl w:ilvl="0" w:tplc="E5E8AC70">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C1C0715"/>
    <w:multiLevelType w:val="hybridMultilevel"/>
    <w:tmpl w:val="298EAC4A"/>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5184E86"/>
    <w:multiLevelType w:val="hybridMultilevel"/>
    <w:tmpl w:val="831E8BB2"/>
    <w:lvl w:ilvl="0" w:tplc="AFF49950">
      <w:start w:val="1"/>
      <w:numFmt w:val="lowerLetter"/>
      <w:lvlText w:val="%1)"/>
      <w:lvlJc w:val="left"/>
      <w:pPr>
        <w:ind w:left="1785" w:hanging="705"/>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nsid w:val="58E62A4A"/>
    <w:multiLevelType w:val="hybridMultilevel"/>
    <w:tmpl w:val="ED4C26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A0E062C"/>
    <w:multiLevelType w:val="hybridMultilevel"/>
    <w:tmpl w:val="CE5899C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A6D5CAA"/>
    <w:multiLevelType w:val="hybridMultilevel"/>
    <w:tmpl w:val="02E0BA7C"/>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0A726C2"/>
    <w:multiLevelType w:val="hybridMultilevel"/>
    <w:tmpl w:val="F71A6900"/>
    <w:lvl w:ilvl="0" w:tplc="B2145EEC">
      <w:start w:val="1"/>
      <w:numFmt w:val="bullet"/>
      <w:lvlText w:val="-"/>
      <w:lvlJc w:val="left"/>
      <w:pPr>
        <w:ind w:left="1440" w:hanging="360"/>
      </w:pPr>
      <w:rPr>
        <w:rFonts w:ascii="Tahoma" w:hAnsi="Tahoma"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6697798F"/>
    <w:multiLevelType w:val="hybridMultilevel"/>
    <w:tmpl w:val="3E549EA4"/>
    <w:lvl w:ilvl="0" w:tplc="B8BEE13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4">
    <w:nsid w:val="680D0645"/>
    <w:multiLevelType w:val="hybridMultilevel"/>
    <w:tmpl w:val="5CD855E8"/>
    <w:lvl w:ilvl="0" w:tplc="5C42A412">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6AD94555"/>
    <w:multiLevelType w:val="hybridMultilevel"/>
    <w:tmpl w:val="18446B40"/>
    <w:lvl w:ilvl="0" w:tplc="E5E8AC70">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6B183AD4"/>
    <w:multiLevelType w:val="hybridMultilevel"/>
    <w:tmpl w:val="034029AC"/>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D28680B"/>
    <w:multiLevelType w:val="hybridMultilevel"/>
    <w:tmpl w:val="D568AB34"/>
    <w:lvl w:ilvl="0" w:tplc="94D6621A">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nsid w:val="6F6829CA"/>
    <w:multiLevelType w:val="hybridMultilevel"/>
    <w:tmpl w:val="EB220998"/>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1730681"/>
    <w:multiLevelType w:val="hybridMultilevel"/>
    <w:tmpl w:val="69F07228"/>
    <w:lvl w:ilvl="0" w:tplc="045C8BB2">
      <w:start w:val="1"/>
      <w:numFmt w:val="lowerLetter"/>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4AB10CF"/>
    <w:multiLevelType w:val="hybridMultilevel"/>
    <w:tmpl w:val="02E0BA7C"/>
    <w:lvl w:ilvl="0" w:tplc="AFF49950">
      <w:start w:val="1"/>
      <w:numFmt w:val="lowerLetter"/>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6AC79DC"/>
    <w:multiLevelType w:val="hybridMultilevel"/>
    <w:tmpl w:val="8368C6FE"/>
    <w:lvl w:ilvl="0" w:tplc="AFF49950">
      <w:start w:val="1"/>
      <w:numFmt w:val="lowerLetter"/>
      <w:lvlText w:val="%1)"/>
      <w:lvlJc w:val="left"/>
      <w:pPr>
        <w:ind w:left="1110" w:hanging="705"/>
      </w:pPr>
      <w:rPr>
        <w:rFonts w:cs="Times New Roman" w:hint="default"/>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42">
    <w:nsid w:val="783C6CD7"/>
    <w:multiLevelType w:val="hybridMultilevel"/>
    <w:tmpl w:val="3640C4DC"/>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7B763BB4"/>
    <w:multiLevelType w:val="hybridMultilevel"/>
    <w:tmpl w:val="2C4826DA"/>
    <w:lvl w:ilvl="0" w:tplc="F58EE754">
      <w:start w:val="1"/>
      <w:numFmt w:val="lowerLetter"/>
      <w:lvlText w:val="%1)"/>
      <w:lvlJc w:val="left"/>
      <w:pPr>
        <w:ind w:left="1004" w:hanging="360"/>
      </w:pPr>
      <w:rPr>
        <w:rFonts w:cs="Times New Roman" w:hint="default"/>
        <w:b/>
        <w:i w:val="0"/>
        <w:sz w:val="16"/>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nsid w:val="7CC84D28"/>
    <w:multiLevelType w:val="hybridMultilevel"/>
    <w:tmpl w:val="5666F0F6"/>
    <w:lvl w:ilvl="0" w:tplc="F58EE754">
      <w:start w:val="1"/>
      <w:numFmt w:val="lowerLetter"/>
      <w:lvlText w:val="%1)"/>
      <w:lvlJc w:val="left"/>
      <w:pPr>
        <w:ind w:left="720" w:hanging="360"/>
      </w:pPr>
      <w:rPr>
        <w:rFonts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EAA03BA"/>
    <w:multiLevelType w:val="hybridMultilevel"/>
    <w:tmpl w:val="26969A62"/>
    <w:lvl w:ilvl="0" w:tplc="E5E8AC70">
      <w:start w:val="1"/>
      <w:numFmt w:val="decimal"/>
      <w:lvlText w:val="%1."/>
      <w:lvlJc w:val="left"/>
      <w:pPr>
        <w:ind w:left="720" w:hanging="360"/>
      </w:pPr>
      <w:rPr>
        <w:rFonts w:ascii="Tahoma" w:hAnsi="Tahoma" w:cs="Times New Roman" w:hint="default"/>
        <w:b/>
        <w:i w:val="0"/>
        <w:sz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EFD042E"/>
    <w:multiLevelType w:val="hybridMultilevel"/>
    <w:tmpl w:val="12D6E5BC"/>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21"/>
  </w:num>
  <w:num w:numId="3">
    <w:abstractNumId w:val="10"/>
  </w:num>
  <w:num w:numId="4">
    <w:abstractNumId w:val="7"/>
  </w:num>
  <w:num w:numId="5">
    <w:abstractNumId w:val="11"/>
  </w:num>
  <w:num w:numId="6">
    <w:abstractNumId w:val="14"/>
  </w:num>
  <w:num w:numId="7">
    <w:abstractNumId w:val="29"/>
  </w:num>
  <w:num w:numId="8">
    <w:abstractNumId w:val="32"/>
  </w:num>
  <w:num w:numId="9">
    <w:abstractNumId w:val="16"/>
  </w:num>
  <w:num w:numId="10">
    <w:abstractNumId w:val="31"/>
  </w:num>
  <w:num w:numId="11">
    <w:abstractNumId w:val="39"/>
  </w:num>
  <w:num w:numId="12">
    <w:abstractNumId w:val="17"/>
  </w:num>
  <w:num w:numId="13">
    <w:abstractNumId w:val="4"/>
  </w:num>
  <w:num w:numId="14">
    <w:abstractNumId w:val="26"/>
  </w:num>
  <w:num w:numId="15">
    <w:abstractNumId w:val="35"/>
  </w:num>
  <w:num w:numId="16">
    <w:abstractNumId w:val="12"/>
  </w:num>
  <w:num w:numId="17">
    <w:abstractNumId w:val="45"/>
  </w:num>
  <w:num w:numId="18">
    <w:abstractNumId w:val="44"/>
  </w:num>
  <w:num w:numId="19">
    <w:abstractNumId w:val="8"/>
  </w:num>
  <w:num w:numId="20">
    <w:abstractNumId w:val="22"/>
  </w:num>
  <w:num w:numId="21">
    <w:abstractNumId w:val="19"/>
  </w:num>
  <w:num w:numId="22">
    <w:abstractNumId w:val="34"/>
  </w:num>
  <w:num w:numId="23">
    <w:abstractNumId w:val="43"/>
  </w:num>
  <w:num w:numId="24">
    <w:abstractNumId w:val="20"/>
  </w:num>
  <w:num w:numId="25">
    <w:abstractNumId w:val="33"/>
  </w:num>
  <w:num w:numId="26">
    <w:abstractNumId w:val="5"/>
  </w:num>
  <w:num w:numId="27">
    <w:abstractNumId w:val="38"/>
  </w:num>
  <w:num w:numId="28">
    <w:abstractNumId w:val="30"/>
  </w:num>
  <w:num w:numId="29">
    <w:abstractNumId w:val="27"/>
  </w:num>
  <w:num w:numId="30">
    <w:abstractNumId w:val="46"/>
  </w:num>
  <w:num w:numId="31">
    <w:abstractNumId w:val="1"/>
  </w:num>
  <w:num w:numId="32">
    <w:abstractNumId w:val="24"/>
  </w:num>
  <w:num w:numId="33">
    <w:abstractNumId w:val="23"/>
  </w:num>
  <w:num w:numId="34">
    <w:abstractNumId w:val="9"/>
  </w:num>
  <w:num w:numId="35">
    <w:abstractNumId w:val="41"/>
  </w:num>
  <w:num w:numId="36">
    <w:abstractNumId w:val="0"/>
  </w:num>
  <w:num w:numId="37">
    <w:abstractNumId w:val="2"/>
  </w:num>
  <w:num w:numId="38">
    <w:abstractNumId w:val="15"/>
  </w:num>
  <w:num w:numId="39">
    <w:abstractNumId w:val="42"/>
  </w:num>
  <w:num w:numId="40">
    <w:abstractNumId w:val="37"/>
  </w:num>
  <w:num w:numId="41">
    <w:abstractNumId w:val="40"/>
  </w:num>
  <w:num w:numId="42">
    <w:abstractNumId w:val="6"/>
  </w:num>
  <w:num w:numId="43">
    <w:abstractNumId w:val="13"/>
  </w:num>
  <w:num w:numId="44">
    <w:abstractNumId w:val="28"/>
  </w:num>
  <w:num w:numId="45">
    <w:abstractNumId w:val="36"/>
  </w:num>
  <w:num w:numId="46">
    <w:abstractNumId w:val="1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14BF"/>
    <w:rsid w:val="00016047"/>
    <w:rsid w:val="00017CFE"/>
    <w:rsid w:val="00022985"/>
    <w:rsid w:val="00030771"/>
    <w:rsid w:val="000332CB"/>
    <w:rsid w:val="00044E15"/>
    <w:rsid w:val="000454B3"/>
    <w:rsid w:val="0005048E"/>
    <w:rsid w:val="000727E5"/>
    <w:rsid w:val="00094A3E"/>
    <w:rsid w:val="00097370"/>
    <w:rsid w:val="000B3E4E"/>
    <w:rsid w:val="000B413F"/>
    <w:rsid w:val="000B7EA0"/>
    <w:rsid w:val="000C14F5"/>
    <w:rsid w:val="000E135A"/>
    <w:rsid w:val="000F1307"/>
    <w:rsid w:val="001030E6"/>
    <w:rsid w:val="00120F2A"/>
    <w:rsid w:val="00151C3A"/>
    <w:rsid w:val="00152C87"/>
    <w:rsid w:val="001614BF"/>
    <w:rsid w:val="0017168E"/>
    <w:rsid w:val="001719D7"/>
    <w:rsid w:val="001849EF"/>
    <w:rsid w:val="00186941"/>
    <w:rsid w:val="00193F8A"/>
    <w:rsid w:val="001C5E9E"/>
    <w:rsid w:val="001E3093"/>
    <w:rsid w:val="001F01CC"/>
    <w:rsid w:val="002002F4"/>
    <w:rsid w:val="00200C05"/>
    <w:rsid w:val="00217DB7"/>
    <w:rsid w:val="0022266B"/>
    <w:rsid w:val="00223EE1"/>
    <w:rsid w:val="00227034"/>
    <w:rsid w:val="002436FA"/>
    <w:rsid w:val="0026350A"/>
    <w:rsid w:val="00270B13"/>
    <w:rsid w:val="00271F64"/>
    <w:rsid w:val="002848E5"/>
    <w:rsid w:val="002B209D"/>
    <w:rsid w:val="002C0250"/>
    <w:rsid w:val="002C28B9"/>
    <w:rsid w:val="002E5B4B"/>
    <w:rsid w:val="00305B01"/>
    <w:rsid w:val="00314CAB"/>
    <w:rsid w:val="0032125A"/>
    <w:rsid w:val="003363A5"/>
    <w:rsid w:val="00350670"/>
    <w:rsid w:val="0035431C"/>
    <w:rsid w:val="003659F5"/>
    <w:rsid w:val="00367847"/>
    <w:rsid w:val="003722A3"/>
    <w:rsid w:val="0038424B"/>
    <w:rsid w:val="003A6A0A"/>
    <w:rsid w:val="003B0833"/>
    <w:rsid w:val="003C202F"/>
    <w:rsid w:val="003E6E8C"/>
    <w:rsid w:val="003F34CE"/>
    <w:rsid w:val="003F6AB6"/>
    <w:rsid w:val="00414887"/>
    <w:rsid w:val="004152B4"/>
    <w:rsid w:val="00417225"/>
    <w:rsid w:val="0043061D"/>
    <w:rsid w:val="0043110C"/>
    <w:rsid w:val="00436230"/>
    <w:rsid w:val="00440028"/>
    <w:rsid w:val="004426BB"/>
    <w:rsid w:val="0045635A"/>
    <w:rsid w:val="004618AB"/>
    <w:rsid w:val="00471F81"/>
    <w:rsid w:val="00474FAD"/>
    <w:rsid w:val="004804C7"/>
    <w:rsid w:val="004839E4"/>
    <w:rsid w:val="004A0B2B"/>
    <w:rsid w:val="004A6A94"/>
    <w:rsid w:val="004B144A"/>
    <w:rsid w:val="004B7437"/>
    <w:rsid w:val="004C0763"/>
    <w:rsid w:val="004C3376"/>
    <w:rsid w:val="004C5D3A"/>
    <w:rsid w:val="004D44FD"/>
    <w:rsid w:val="004E4087"/>
    <w:rsid w:val="00502E50"/>
    <w:rsid w:val="00514816"/>
    <w:rsid w:val="00521618"/>
    <w:rsid w:val="005241F2"/>
    <w:rsid w:val="0053552F"/>
    <w:rsid w:val="005355AA"/>
    <w:rsid w:val="0054662D"/>
    <w:rsid w:val="00552122"/>
    <w:rsid w:val="00587740"/>
    <w:rsid w:val="005A14C5"/>
    <w:rsid w:val="005C1DAC"/>
    <w:rsid w:val="005F2DD0"/>
    <w:rsid w:val="0060047E"/>
    <w:rsid w:val="0060179D"/>
    <w:rsid w:val="00602188"/>
    <w:rsid w:val="0061150D"/>
    <w:rsid w:val="00625B6A"/>
    <w:rsid w:val="00635EDA"/>
    <w:rsid w:val="00640DA2"/>
    <w:rsid w:val="00655B6C"/>
    <w:rsid w:val="006666EE"/>
    <w:rsid w:val="00670E24"/>
    <w:rsid w:val="00673CDE"/>
    <w:rsid w:val="00680EE5"/>
    <w:rsid w:val="00682D36"/>
    <w:rsid w:val="00683072"/>
    <w:rsid w:val="00685DD4"/>
    <w:rsid w:val="006B62C7"/>
    <w:rsid w:val="006C6783"/>
    <w:rsid w:val="006D0D49"/>
    <w:rsid w:val="006D784E"/>
    <w:rsid w:val="00706624"/>
    <w:rsid w:val="007140B9"/>
    <w:rsid w:val="0072101E"/>
    <w:rsid w:val="00721664"/>
    <w:rsid w:val="00726C5D"/>
    <w:rsid w:val="0072777A"/>
    <w:rsid w:val="0073146F"/>
    <w:rsid w:val="00734D18"/>
    <w:rsid w:val="007461A0"/>
    <w:rsid w:val="007553CC"/>
    <w:rsid w:val="00755708"/>
    <w:rsid w:val="00774122"/>
    <w:rsid w:val="00785DAB"/>
    <w:rsid w:val="007864C0"/>
    <w:rsid w:val="007C2583"/>
    <w:rsid w:val="007D20F2"/>
    <w:rsid w:val="007F1C0C"/>
    <w:rsid w:val="007F771C"/>
    <w:rsid w:val="00800114"/>
    <w:rsid w:val="00813B4D"/>
    <w:rsid w:val="00836B74"/>
    <w:rsid w:val="008716B3"/>
    <w:rsid w:val="008A51FB"/>
    <w:rsid w:val="008B6D12"/>
    <w:rsid w:val="008C4BA4"/>
    <w:rsid w:val="008D1A31"/>
    <w:rsid w:val="008D5848"/>
    <w:rsid w:val="008E6647"/>
    <w:rsid w:val="009000AC"/>
    <w:rsid w:val="00905491"/>
    <w:rsid w:val="00917818"/>
    <w:rsid w:val="00917AE0"/>
    <w:rsid w:val="00963BDC"/>
    <w:rsid w:val="009705E4"/>
    <w:rsid w:val="00983A8A"/>
    <w:rsid w:val="00993DEA"/>
    <w:rsid w:val="009B63B4"/>
    <w:rsid w:val="009C0FF8"/>
    <w:rsid w:val="009C200A"/>
    <w:rsid w:val="009C3487"/>
    <w:rsid w:val="009C59B1"/>
    <w:rsid w:val="009F14F1"/>
    <w:rsid w:val="00A14A0C"/>
    <w:rsid w:val="00A17BFF"/>
    <w:rsid w:val="00A356A7"/>
    <w:rsid w:val="00A36625"/>
    <w:rsid w:val="00A5003E"/>
    <w:rsid w:val="00A6132D"/>
    <w:rsid w:val="00A62F87"/>
    <w:rsid w:val="00A6694E"/>
    <w:rsid w:val="00A74B89"/>
    <w:rsid w:val="00A77129"/>
    <w:rsid w:val="00A9685C"/>
    <w:rsid w:val="00AA3CC7"/>
    <w:rsid w:val="00AA68B6"/>
    <w:rsid w:val="00AB5910"/>
    <w:rsid w:val="00AC2083"/>
    <w:rsid w:val="00AD0578"/>
    <w:rsid w:val="00AD2258"/>
    <w:rsid w:val="00AD3E54"/>
    <w:rsid w:val="00AF1A5D"/>
    <w:rsid w:val="00AF2262"/>
    <w:rsid w:val="00AF4EC0"/>
    <w:rsid w:val="00B07760"/>
    <w:rsid w:val="00B1220C"/>
    <w:rsid w:val="00B1535F"/>
    <w:rsid w:val="00B22FD6"/>
    <w:rsid w:val="00B25760"/>
    <w:rsid w:val="00B31D58"/>
    <w:rsid w:val="00B37C88"/>
    <w:rsid w:val="00B50963"/>
    <w:rsid w:val="00B5210F"/>
    <w:rsid w:val="00B67221"/>
    <w:rsid w:val="00B777A6"/>
    <w:rsid w:val="00B821B7"/>
    <w:rsid w:val="00B905AE"/>
    <w:rsid w:val="00BB4243"/>
    <w:rsid w:val="00BD25FC"/>
    <w:rsid w:val="00BE438E"/>
    <w:rsid w:val="00BF0205"/>
    <w:rsid w:val="00BF1F7F"/>
    <w:rsid w:val="00BF2103"/>
    <w:rsid w:val="00BF2427"/>
    <w:rsid w:val="00BF3C53"/>
    <w:rsid w:val="00BF463A"/>
    <w:rsid w:val="00BF78DA"/>
    <w:rsid w:val="00C047FB"/>
    <w:rsid w:val="00C134A1"/>
    <w:rsid w:val="00C17B72"/>
    <w:rsid w:val="00C24AFD"/>
    <w:rsid w:val="00C36380"/>
    <w:rsid w:val="00C44417"/>
    <w:rsid w:val="00C456C6"/>
    <w:rsid w:val="00C605B3"/>
    <w:rsid w:val="00C63444"/>
    <w:rsid w:val="00C64F4A"/>
    <w:rsid w:val="00C72102"/>
    <w:rsid w:val="00C7635D"/>
    <w:rsid w:val="00C813DF"/>
    <w:rsid w:val="00C9077D"/>
    <w:rsid w:val="00C92427"/>
    <w:rsid w:val="00CB2034"/>
    <w:rsid w:val="00CE0804"/>
    <w:rsid w:val="00CE30E1"/>
    <w:rsid w:val="00CE56A7"/>
    <w:rsid w:val="00CE6E7F"/>
    <w:rsid w:val="00D11F89"/>
    <w:rsid w:val="00D140A5"/>
    <w:rsid w:val="00D26147"/>
    <w:rsid w:val="00D41ED7"/>
    <w:rsid w:val="00D610FE"/>
    <w:rsid w:val="00D806CC"/>
    <w:rsid w:val="00D84313"/>
    <w:rsid w:val="00D9553C"/>
    <w:rsid w:val="00D977E6"/>
    <w:rsid w:val="00DB0DF4"/>
    <w:rsid w:val="00DB4890"/>
    <w:rsid w:val="00DB5BA8"/>
    <w:rsid w:val="00DC382E"/>
    <w:rsid w:val="00DD5C25"/>
    <w:rsid w:val="00DF6E3B"/>
    <w:rsid w:val="00DF7936"/>
    <w:rsid w:val="00E012DC"/>
    <w:rsid w:val="00E12495"/>
    <w:rsid w:val="00E247F0"/>
    <w:rsid w:val="00E75F8F"/>
    <w:rsid w:val="00E92CD0"/>
    <w:rsid w:val="00E96462"/>
    <w:rsid w:val="00EA2FDE"/>
    <w:rsid w:val="00EA37C9"/>
    <w:rsid w:val="00EA3AEA"/>
    <w:rsid w:val="00EC21F9"/>
    <w:rsid w:val="00EC3FCC"/>
    <w:rsid w:val="00EC757F"/>
    <w:rsid w:val="00ED2E93"/>
    <w:rsid w:val="00ED36DA"/>
    <w:rsid w:val="00ED42E5"/>
    <w:rsid w:val="00ED6627"/>
    <w:rsid w:val="00EE3C7F"/>
    <w:rsid w:val="00EF5D1B"/>
    <w:rsid w:val="00F03466"/>
    <w:rsid w:val="00F0787A"/>
    <w:rsid w:val="00F13C3C"/>
    <w:rsid w:val="00F210A7"/>
    <w:rsid w:val="00F22F9A"/>
    <w:rsid w:val="00F23FAD"/>
    <w:rsid w:val="00F5123A"/>
    <w:rsid w:val="00F64E17"/>
    <w:rsid w:val="00F75CB6"/>
    <w:rsid w:val="00F80B6B"/>
    <w:rsid w:val="00F81E21"/>
    <w:rsid w:val="00F833B8"/>
    <w:rsid w:val="00F96658"/>
    <w:rsid w:val="00FA0CC3"/>
    <w:rsid w:val="00FA6596"/>
    <w:rsid w:val="00FA6611"/>
    <w:rsid w:val="00FA6C42"/>
    <w:rsid w:val="00FA778D"/>
    <w:rsid w:val="00FB51E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9F5"/>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685C"/>
    <w:pPr>
      <w:tabs>
        <w:tab w:val="center" w:pos="4536"/>
        <w:tab w:val="right" w:pos="9072"/>
      </w:tabs>
    </w:pPr>
  </w:style>
  <w:style w:type="character" w:customStyle="1" w:styleId="HeaderChar">
    <w:name w:val="Header Char"/>
    <w:basedOn w:val="DefaultParagraphFont"/>
    <w:link w:val="Header"/>
    <w:uiPriority w:val="99"/>
    <w:semiHidden/>
    <w:rsid w:val="00E848D5"/>
    <w:rPr>
      <w:sz w:val="28"/>
      <w:szCs w:val="20"/>
    </w:rPr>
  </w:style>
  <w:style w:type="paragraph" w:styleId="Footer">
    <w:name w:val="footer"/>
    <w:basedOn w:val="Normal"/>
    <w:link w:val="FooterChar"/>
    <w:uiPriority w:val="99"/>
    <w:rsid w:val="00A9685C"/>
    <w:pPr>
      <w:tabs>
        <w:tab w:val="center" w:pos="4536"/>
        <w:tab w:val="right" w:pos="9072"/>
      </w:tabs>
    </w:pPr>
  </w:style>
  <w:style w:type="character" w:customStyle="1" w:styleId="FooterChar">
    <w:name w:val="Footer Char"/>
    <w:basedOn w:val="DefaultParagraphFont"/>
    <w:link w:val="Footer"/>
    <w:uiPriority w:val="99"/>
    <w:semiHidden/>
    <w:rsid w:val="00E848D5"/>
    <w:rPr>
      <w:sz w:val="28"/>
      <w:szCs w:val="20"/>
    </w:rPr>
  </w:style>
  <w:style w:type="paragraph" w:styleId="BalloonText">
    <w:name w:val="Balloon Text"/>
    <w:basedOn w:val="Normal"/>
    <w:link w:val="BalloonTextChar"/>
    <w:uiPriority w:val="99"/>
    <w:rsid w:val="00120F2A"/>
    <w:rPr>
      <w:rFonts w:ascii="Tahoma" w:hAnsi="Tahoma" w:cs="Tahoma"/>
      <w:sz w:val="16"/>
      <w:szCs w:val="16"/>
    </w:rPr>
  </w:style>
  <w:style w:type="character" w:customStyle="1" w:styleId="BalloonTextChar">
    <w:name w:val="Balloon Text Char"/>
    <w:basedOn w:val="DefaultParagraphFont"/>
    <w:link w:val="BalloonText"/>
    <w:uiPriority w:val="99"/>
    <w:locked/>
    <w:rsid w:val="00120F2A"/>
    <w:rPr>
      <w:rFonts w:ascii="Tahoma" w:hAnsi="Tahoma" w:cs="Tahoma"/>
      <w:sz w:val="16"/>
      <w:szCs w:val="16"/>
    </w:rPr>
  </w:style>
  <w:style w:type="paragraph" w:styleId="BodyText">
    <w:name w:val="Body Text"/>
    <w:basedOn w:val="Normal"/>
    <w:link w:val="BodyTextChar"/>
    <w:uiPriority w:val="99"/>
    <w:rsid w:val="00120F2A"/>
    <w:pPr>
      <w:jc w:val="center"/>
    </w:pPr>
    <w:rPr>
      <w:rFonts w:ascii="Arial" w:hAnsi="Arial" w:cs="Arial"/>
      <w:sz w:val="22"/>
      <w:szCs w:val="22"/>
    </w:rPr>
  </w:style>
  <w:style w:type="character" w:customStyle="1" w:styleId="BodyTextChar">
    <w:name w:val="Body Text Char"/>
    <w:basedOn w:val="DefaultParagraphFont"/>
    <w:link w:val="BodyText"/>
    <w:uiPriority w:val="99"/>
    <w:locked/>
    <w:rsid w:val="00120F2A"/>
    <w:rPr>
      <w:rFonts w:ascii="Arial" w:hAnsi="Arial" w:cs="Arial"/>
      <w:sz w:val="22"/>
      <w:szCs w:val="22"/>
    </w:rPr>
  </w:style>
  <w:style w:type="paragraph" w:styleId="ListParagraph">
    <w:name w:val="List Paragraph"/>
    <w:basedOn w:val="Normal"/>
    <w:uiPriority w:val="99"/>
    <w:qFormat/>
    <w:rsid w:val="00706624"/>
    <w:pPr>
      <w:ind w:left="720"/>
      <w:contextualSpacing/>
    </w:pPr>
  </w:style>
  <w:style w:type="character" w:styleId="Hyperlink">
    <w:name w:val="Hyperlink"/>
    <w:basedOn w:val="DefaultParagraphFont"/>
    <w:uiPriority w:val="99"/>
    <w:rsid w:val="00706624"/>
    <w:rPr>
      <w:rFonts w:cs="Times New Roman"/>
      <w:color w:val="0000FF"/>
      <w:u w:val="single"/>
    </w:rPr>
  </w:style>
  <w:style w:type="character" w:styleId="FollowedHyperlink">
    <w:name w:val="FollowedHyperlink"/>
    <w:basedOn w:val="DefaultParagraphFont"/>
    <w:uiPriority w:val="99"/>
    <w:rsid w:val="00F5123A"/>
    <w:rPr>
      <w:rFonts w:cs="Times New Roman"/>
      <w:color w:val="800080"/>
      <w:u w:val="single"/>
    </w:rPr>
  </w:style>
  <w:style w:type="character" w:styleId="Strong">
    <w:name w:val="Strong"/>
    <w:basedOn w:val="DefaultParagraphFont"/>
    <w:uiPriority w:val="99"/>
    <w:qFormat/>
    <w:rsid w:val="004B144A"/>
    <w:rPr>
      <w:rFonts w:cs="Times New Roman"/>
      <w:b/>
      <w:bCs/>
    </w:rPr>
  </w:style>
  <w:style w:type="character" w:styleId="CommentReference">
    <w:name w:val="annotation reference"/>
    <w:basedOn w:val="DefaultParagraphFont"/>
    <w:uiPriority w:val="99"/>
    <w:semiHidden/>
    <w:rsid w:val="00B67221"/>
    <w:rPr>
      <w:rFonts w:cs="Times New Roman"/>
      <w:sz w:val="16"/>
      <w:szCs w:val="16"/>
    </w:rPr>
  </w:style>
  <w:style w:type="paragraph" w:styleId="CommentText">
    <w:name w:val="annotation text"/>
    <w:basedOn w:val="Normal"/>
    <w:link w:val="CommentTextChar"/>
    <w:uiPriority w:val="99"/>
    <w:semiHidden/>
    <w:rsid w:val="00B67221"/>
    <w:pPr>
      <w:spacing w:after="200"/>
    </w:pPr>
    <w:rPr>
      <w:rFonts w:ascii="Calibri" w:hAnsi="Calibri"/>
      <w:sz w:val="20"/>
      <w:lang w:eastAsia="en-US"/>
    </w:rPr>
  </w:style>
  <w:style w:type="character" w:customStyle="1" w:styleId="CommentTextChar">
    <w:name w:val="Comment Text Char"/>
    <w:basedOn w:val="DefaultParagraphFont"/>
    <w:link w:val="CommentText"/>
    <w:uiPriority w:val="99"/>
    <w:semiHidden/>
    <w:locked/>
    <w:rsid w:val="00B67221"/>
    <w:rPr>
      <w:rFonts w:ascii="Calibri" w:hAnsi="Calibri" w:cs="Times New Roman"/>
      <w:lang w:val="pl-PL"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101</TotalTime>
  <Pages>3</Pages>
  <Words>1294</Words>
  <Characters>7764</Characters>
  <Application>Microsoft Office Outlook</Application>
  <DocSecurity>0</DocSecurity>
  <Lines>0</Lines>
  <Paragraphs>0</Paragraphs>
  <ScaleCrop>false</ScaleCrop>
  <Company>Creative Force sp. z o. 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Poznań, data</dc:title>
  <dc:subject/>
  <dc:creator>Pracownik</dc:creator>
  <cp:keywords/>
  <dc:description/>
  <cp:lastModifiedBy>a_olszowa</cp:lastModifiedBy>
  <cp:revision>14</cp:revision>
  <cp:lastPrinted>2011-03-08T15:46:00Z</cp:lastPrinted>
  <dcterms:created xsi:type="dcterms:W3CDTF">2011-03-08T14:19:00Z</dcterms:created>
  <dcterms:modified xsi:type="dcterms:W3CDTF">2011-03-08T16:02:00Z</dcterms:modified>
</cp:coreProperties>
</file>