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15C3D">
        <w:rPr>
          <w:rFonts w:ascii="Tahoma" w:hAnsi="Tahoma"/>
          <w:sz w:val="22"/>
          <w:szCs w:val="22"/>
        </w:rPr>
        <w:t>dnia 31</w:t>
      </w:r>
      <w:r>
        <w:rPr>
          <w:rFonts w:ascii="Tahoma" w:hAnsi="Tahoma"/>
          <w:sz w:val="22"/>
          <w:szCs w:val="22"/>
        </w:rPr>
        <w:t>.03.2011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315C3D" w:rsidP="00C425E0">
            <w:pPr>
              <w:rPr>
                <w:rFonts w:ascii="Tahoma" w:hAnsi="Tahoma" w:cs="Tahoma"/>
                <w:b/>
                <w:sz w:val="20"/>
              </w:rPr>
            </w:pPr>
            <w:r w:rsidRPr="00315C3D">
              <w:rPr>
                <w:rFonts w:ascii="Tahoma" w:hAnsi="Tahoma" w:cs="Tahoma"/>
                <w:b/>
                <w:sz w:val="20"/>
              </w:rPr>
              <w:t>Wszczęcie przed sądem postępowa</w:t>
            </w:r>
            <w:r w:rsidR="00C425E0">
              <w:rPr>
                <w:rFonts w:ascii="Tahoma" w:hAnsi="Tahoma" w:cs="Tahoma"/>
                <w:b/>
                <w:sz w:val="20"/>
              </w:rPr>
              <w:t>nia dotyczącego wierzytelności E</w:t>
            </w:r>
            <w:r w:rsidRPr="00315C3D">
              <w:rPr>
                <w:rFonts w:ascii="Tahoma" w:hAnsi="Tahoma" w:cs="Tahoma"/>
                <w:b/>
                <w:sz w:val="20"/>
              </w:rPr>
              <w:t xml:space="preserve">mitenta, których wartość stanowi co najmniej 10% kapitałów własnych </w:t>
            </w:r>
            <w:r w:rsidR="00C425E0">
              <w:rPr>
                <w:rFonts w:ascii="Tahoma" w:hAnsi="Tahoma" w:cs="Tahoma"/>
                <w:b/>
                <w:sz w:val="20"/>
              </w:rPr>
              <w:t>E</w:t>
            </w:r>
            <w:r w:rsidRPr="00315C3D">
              <w:rPr>
                <w:rFonts w:ascii="Tahoma" w:hAnsi="Tahoma" w:cs="Tahoma"/>
                <w:b/>
                <w:sz w:val="20"/>
              </w:rPr>
              <w:t>mitenta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6B7AA9">
              <w:rPr>
                <w:rFonts w:ascii="Tahoma" w:hAnsi="Tahoma" w:cs="Tahoma"/>
                <w:b/>
                <w:sz w:val="20"/>
              </w:rPr>
              <w:t>7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F075DE" w:rsidRDefault="001E5403" w:rsidP="001E5403">
            <w:pPr>
              <w:jc w:val="both"/>
              <w:rPr>
                <w:rFonts w:ascii="Tahoma" w:hAnsi="Tahoma" w:cs="Tahoma"/>
                <w:sz w:val="20"/>
              </w:rPr>
            </w:pPr>
            <w:r w:rsidRPr="001E5403">
              <w:rPr>
                <w:rFonts w:ascii="Tahoma" w:hAnsi="Tahoma" w:cs="Tahoma"/>
                <w:sz w:val="20"/>
              </w:rPr>
              <w:t xml:space="preserve">Zarząd </w:t>
            </w:r>
            <w:r w:rsidR="009D174E">
              <w:rPr>
                <w:rFonts w:ascii="Tahoma" w:hAnsi="Tahoma" w:cs="Tahoma"/>
                <w:sz w:val="20"/>
              </w:rPr>
              <w:t>DGA</w:t>
            </w:r>
            <w:r w:rsidRPr="001E5403">
              <w:rPr>
                <w:rFonts w:ascii="Tahoma" w:hAnsi="Tahoma" w:cs="Tahoma"/>
                <w:sz w:val="20"/>
              </w:rPr>
              <w:t xml:space="preserve"> S.A. z siedzibą w </w:t>
            </w:r>
            <w:r w:rsidR="009D174E">
              <w:rPr>
                <w:rFonts w:ascii="Tahoma" w:hAnsi="Tahoma" w:cs="Tahoma"/>
                <w:sz w:val="20"/>
              </w:rPr>
              <w:t>Poznaniu</w:t>
            </w:r>
            <w:r w:rsidRPr="001E5403">
              <w:rPr>
                <w:rFonts w:ascii="Tahoma" w:hAnsi="Tahoma" w:cs="Tahoma"/>
                <w:sz w:val="20"/>
              </w:rPr>
              <w:t xml:space="preserve"> </w:t>
            </w:r>
            <w:r w:rsidR="006B1099">
              <w:rPr>
                <w:rFonts w:ascii="Tahoma" w:hAnsi="Tahoma" w:cs="Tahoma"/>
                <w:sz w:val="20"/>
              </w:rPr>
              <w:t>(„DGA”</w:t>
            </w:r>
            <w:r w:rsidR="00F6205C">
              <w:rPr>
                <w:rFonts w:ascii="Tahoma" w:hAnsi="Tahoma" w:cs="Tahoma"/>
                <w:sz w:val="20"/>
              </w:rPr>
              <w:t xml:space="preserve"> lub „powódka”</w:t>
            </w:r>
            <w:r w:rsidR="006B1099">
              <w:rPr>
                <w:rFonts w:ascii="Tahoma" w:hAnsi="Tahoma" w:cs="Tahoma"/>
                <w:sz w:val="20"/>
              </w:rPr>
              <w:t xml:space="preserve">) </w:t>
            </w:r>
            <w:r w:rsidRPr="001E5403">
              <w:rPr>
                <w:rFonts w:ascii="Tahoma" w:hAnsi="Tahoma" w:cs="Tahoma"/>
                <w:sz w:val="20"/>
              </w:rPr>
              <w:t xml:space="preserve">informuje, że w dniu </w:t>
            </w:r>
            <w:r w:rsidR="009D174E">
              <w:rPr>
                <w:rFonts w:ascii="Tahoma" w:hAnsi="Tahoma" w:cs="Tahoma"/>
                <w:sz w:val="20"/>
              </w:rPr>
              <w:t>31</w:t>
            </w:r>
            <w:r w:rsidRPr="001E5403">
              <w:rPr>
                <w:rFonts w:ascii="Tahoma" w:hAnsi="Tahoma" w:cs="Tahoma"/>
                <w:sz w:val="20"/>
              </w:rPr>
              <w:t xml:space="preserve"> </w:t>
            </w:r>
            <w:r w:rsidR="009D174E">
              <w:rPr>
                <w:rFonts w:ascii="Tahoma" w:hAnsi="Tahoma" w:cs="Tahoma"/>
                <w:sz w:val="20"/>
              </w:rPr>
              <w:t>marca 2011</w:t>
            </w:r>
            <w:r w:rsidRPr="001E5403">
              <w:rPr>
                <w:rFonts w:ascii="Tahoma" w:hAnsi="Tahoma" w:cs="Tahoma"/>
                <w:sz w:val="20"/>
              </w:rPr>
              <w:t xml:space="preserve"> roku</w:t>
            </w:r>
            <w:r w:rsidR="00CC4983">
              <w:rPr>
                <w:rFonts w:ascii="Tahoma" w:hAnsi="Tahoma" w:cs="Tahoma"/>
                <w:sz w:val="20"/>
              </w:rPr>
              <w:t xml:space="preserve"> (data wszczęcia postępowania)</w:t>
            </w:r>
            <w:r w:rsidRPr="001E5403">
              <w:rPr>
                <w:rFonts w:ascii="Tahoma" w:hAnsi="Tahoma" w:cs="Tahoma"/>
                <w:sz w:val="20"/>
              </w:rPr>
              <w:t xml:space="preserve"> </w:t>
            </w:r>
            <w:r w:rsidR="006B1099">
              <w:rPr>
                <w:rFonts w:ascii="Tahoma" w:hAnsi="Tahoma" w:cs="Tahoma"/>
                <w:sz w:val="20"/>
              </w:rPr>
              <w:t xml:space="preserve">DGA </w:t>
            </w:r>
            <w:r w:rsidR="000544E4">
              <w:rPr>
                <w:rFonts w:ascii="Tahoma" w:hAnsi="Tahoma" w:cs="Tahoma"/>
                <w:sz w:val="20"/>
              </w:rPr>
              <w:t>złożyła pozew o zapłatę</w:t>
            </w:r>
            <w:r w:rsidR="00F075DE">
              <w:rPr>
                <w:rFonts w:ascii="Tahoma" w:hAnsi="Tahoma" w:cs="Tahoma"/>
                <w:sz w:val="20"/>
              </w:rPr>
              <w:t xml:space="preserve"> do Sądu Okręgowego w Warszawie, którego wartość wierzytelności przekracza 10% kapitałów własnych Emitenta.</w:t>
            </w:r>
          </w:p>
          <w:p w:rsidR="00F075DE" w:rsidRDefault="00F075DE" w:rsidP="001E540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57013" w:rsidRDefault="00357013" w:rsidP="001E540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Stroną pozwaną jest Agencja Rozwoju Przemysłu S.A</w:t>
            </w:r>
            <w:r w:rsidR="00F6205C">
              <w:rPr>
                <w:rFonts w:ascii="Tahoma" w:hAnsi="Tahoma" w:cs="Tahoma"/>
                <w:sz w:val="20"/>
              </w:rPr>
              <w:t xml:space="preserve"> („ARP” lub </w:t>
            </w:r>
            <w:r w:rsidR="008629B5">
              <w:rPr>
                <w:rFonts w:ascii="Tahoma" w:hAnsi="Tahoma" w:cs="Tahoma"/>
                <w:sz w:val="20"/>
              </w:rPr>
              <w:t>„pozwana”)</w:t>
            </w:r>
            <w:r>
              <w:rPr>
                <w:rFonts w:ascii="Tahoma" w:hAnsi="Tahoma" w:cs="Tahoma"/>
                <w:sz w:val="20"/>
              </w:rPr>
              <w:t>.</w:t>
            </w:r>
            <w:r w:rsidR="0019446A">
              <w:rPr>
                <w:rFonts w:ascii="Tahoma" w:hAnsi="Tahoma" w:cs="Tahoma"/>
                <w:sz w:val="20"/>
              </w:rPr>
              <w:t xml:space="preserve"> Wierzytelność wynika </w:t>
            </w:r>
            <w:r w:rsidR="00481350">
              <w:rPr>
                <w:rFonts w:ascii="Tahoma" w:hAnsi="Tahoma" w:cs="Tahoma"/>
                <w:sz w:val="20"/>
              </w:rPr>
              <w:t xml:space="preserve">z odmowy zapłaty przez ARP </w:t>
            </w:r>
            <w:r w:rsidR="00C425E0">
              <w:rPr>
                <w:rFonts w:ascii="Tahoma" w:hAnsi="Tahoma" w:cs="Tahoma"/>
                <w:sz w:val="20"/>
              </w:rPr>
              <w:t xml:space="preserve">S.A. części </w:t>
            </w:r>
            <w:r w:rsidR="00481350">
              <w:rPr>
                <w:rFonts w:ascii="Tahoma" w:hAnsi="Tahoma" w:cs="Tahoma"/>
                <w:sz w:val="20"/>
              </w:rPr>
              <w:t xml:space="preserve">należności za </w:t>
            </w:r>
            <w:r w:rsidR="00C425E0">
              <w:rPr>
                <w:rFonts w:ascii="Tahoma" w:hAnsi="Tahoma" w:cs="Tahoma"/>
                <w:sz w:val="20"/>
              </w:rPr>
              <w:t xml:space="preserve">realizację projektu </w:t>
            </w:r>
            <w:r w:rsidR="00C425E0" w:rsidRPr="0019446A">
              <w:rPr>
                <w:rFonts w:ascii="Tahoma" w:hAnsi="Tahoma" w:cs="Tahoma"/>
                <w:sz w:val="20"/>
              </w:rPr>
              <w:t>„Wsparcie dla pracowników sektora budownictwa okrętowego dotkniętych negatywnymi skutkami restrukturyzacji”</w:t>
            </w:r>
            <w:r w:rsidR="00481350">
              <w:rPr>
                <w:rFonts w:ascii="Tahoma" w:hAnsi="Tahoma" w:cs="Tahoma"/>
                <w:sz w:val="20"/>
              </w:rPr>
              <w:t xml:space="preserve"> zakończone</w:t>
            </w:r>
            <w:r w:rsidR="008324B0">
              <w:rPr>
                <w:rFonts w:ascii="Tahoma" w:hAnsi="Tahoma" w:cs="Tahoma"/>
                <w:sz w:val="20"/>
              </w:rPr>
              <w:t>go 30 czerwca 2010 r.</w:t>
            </w:r>
          </w:p>
          <w:p w:rsidR="00357013" w:rsidRDefault="00357013" w:rsidP="001E540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57013" w:rsidRDefault="00357013" w:rsidP="001E540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pozwem o zapłatę DGA wnosi o:</w:t>
            </w:r>
          </w:p>
          <w:p w:rsidR="00357013" w:rsidRDefault="00357013" w:rsidP="00F6205C">
            <w:pPr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  <w:r w:rsidR="00F6205C">
              <w:rPr>
                <w:rFonts w:ascii="Tahoma" w:hAnsi="Tahoma" w:cs="Tahoma"/>
                <w:sz w:val="20"/>
              </w:rPr>
              <w:t xml:space="preserve">1. </w:t>
            </w:r>
            <w:r w:rsidRPr="00357013">
              <w:rPr>
                <w:rFonts w:ascii="Tahoma" w:hAnsi="Tahoma" w:cs="Tahoma"/>
                <w:sz w:val="20"/>
              </w:rPr>
              <w:t>zasądzenie od Agencji Rozwoju Przemysłu S.A. na rzecz DGA S.A. kwoty 3.742.935,08 złotych (trzy miliony  siedemset czterdzieści dwa tysiące dziewięćset trzydzieści pięć złotych 08/100 groszy) tytułem należności głównej wraz z ustawowymi odsetkami od dnia wniesienia pozwu;</w:t>
            </w:r>
          </w:p>
          <w:p w:rsidR="00F6205C" w:rsidRDefault="00F6205C" w:rsidP="00F6205C">
            <w:pPr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 w:rsidRPr="00F6205C">
              <w:rPr>
                <w:rFonts w:ascii="Tahoma" w:hAnsi="Tahoma" w:cs="Tahoma"/>
                <w:sz w:val="20"/>
              </w:rPr>
              <w:t>2.</w:t>
            </w:r>
            <w:r w:rsidRPr="00F6205C">
              <w:rPr>
                <w:rFonts w:ascii="Tahoma" w:hAnsi="Tahoma" w:cs="Tahoma"/>
                <w:sz w:val="20"/>
              </w:rPr>
              <w:tab/>
              <w:t>zasądzenie od Agencji Rozwoju Przemysłu S.A. na rzecz DGA S.A. kwoty 546.121,07 złotych (pięćset czterdzieści sześć tysięcy sto dwadzieścia jeden złotych 07/100 groszy) tytułem skapitalizowanych odsetek wraz z ustawowymi odsetkami od dnia wniesienia pozwu;</w:t>
            </w:r>
          </w:p>
          <w:p w:rsidR="008629B5" w:rsidRPr="001E5403" w:rsidRDefault="008629B5" w:rsidP="008629B5">
            <w:pPr>
              <w:jc w:val="both"/>
              <w:rPr>
                <w:rFonts w:ascii="Tahoma" w:hAnsi="Tahoma" w:cs="Tahoma"/>
                <w:sz w:val="20"/>
              </w:rPr>
            </w:pPr>
          </w:p>
          <w:p w:rsidR="00CC26FE" w:rsidRPr="001E5403" w:rsidRDefault="00CC26FE" w:rsidP="001E5403">
            <w:pPr>
              <w:jc w:val="both"/>
              <w:rPr>
                <w:rFonts w:ascii="Tahoma" w:hAnsi="Tahoma" w:cs="Tahoma"/>
                <w:sz w:val="20"/>
              </w:rPr>
            </w:pPr>
          </w:p>
          <w:p w:rsidR="00845989" w:rsidRDefault="001E5403" w:rsidP="004351ED">
            <w:pPr>
              <w:jc w:val="both"/>
              <w:rPr>
                <w:rFonts w:ascii="Tahoma" w:hAnsi="Tahoma" w:cs="Tahoma"/>
                <w:sz w:val="20"/>
              </w:rPr>
            </w:pPr>
            <w:r w:rsidRPr="001E5403">
              <w:rPr>
                <w:rFonts w:ascii="Tahoma" w:hAnsi="Tahoma" w:cs="Tahoma"/>
                <w:sz w:val="20"/>
              </w:rPr>
              <w:t xml:space="preserve">Zdaniem </w:t>
            </w:r>
            <w:r w:rsidR="00FC2AB7">
              <w:rPr>
                <w:rFonts w:ascii="Tahoma" w:hAnsi="Tahoma" w:cs="Tahoma"/>
                <w:sz w:val="20"/>
              </w:rPr>
              <w:t>DGA</w:t>
            </w:r>
            <w:r w:rsidR="0088202A">
              <w:rPr>
                <w:rFonts w:ascii="Tahoma" w:hAnsi="Tahoma" w:cs="Tahoma"/>
                <w:sz w:val="20"/>
              </w:rPr>
              <w:t xml:space="preserve"> </w:t>
            </w:r>
            <w:r w:rsidR="005A6F79">
              <w:rPr>
                <w:rFonts w:ascii="Tahoma" w:hAnsi="Tahoma" w:cs="Tahoma"/>
                <w:sz w:val="20"/>
              </w:rPr>
              <w:t xml:space="preserve">S.A. </w:t>
            </w:r>
            <w:r w:rsidR="004C06FE">
              <w:rPr>
                <w:rFonts w:ascii="Tahoma" w:hAnsi="Tahoma" w:cs="Tahoma"/>
                <w:sz w:val="20"/>
              </w:rPr>
              <w:t>usługi objęte umową zostały</w:t>
            </w:r>
            <w:r w:rsidR="00FC2AB7">
              <w:rPr>
                <w:rFonts w:ascii="Tahoma" w:hAnsi="Tahoma" w:cs="Tahoma"/>
                <w:sz w:val="20"/>
              </w:rPr>
              <w:t xml:space="preserve"> </w:t>
            </w:r>
            <w:r w:rsidR="0088202A">
              <w:rPr>
                <w:rFonts w:ascii="Tahoma" w:hAnsi="Tahoma" w:cs="Tahoma"/>
                <w:sz w:val="20"/>
              </w:rPr>
              <w:t xml:space="preserve">należycie </w:t>
            </w:r>
            <w:r w:rsidR="004C06FE">
              <w:rPr>
                <w:rFonts w:ascii="Tahoma" w:hAnsi="Tahoma" w:cs="Tahoma"/>
                <w:sz w:val="20"/>
              </w:rPr>
              <w:t xml:space="preserve">wykonane. Cel projektu oraz wskaźniki określone w umowie zostały osiągnięte, dlatego też </w:t>
            </w:r>
            <w:r w:rsidR="00FC2AB7">
              <w:rPr>
                <w:rFonts w:ascii="Tahoma" w:hAnsi="Tahoma" w:cs="Tahoma"/>
                <w:sz w:val="20"/>
              </w:rPr>
              <w:t>pozew o zapłatę jest zasad</w:t>
            </w:r>
            <w:r w:rsidR="004C06FE">
              <w:rPr>
                <w:rFonts w:ascii="Tahoma" w:hAnsi="Tahoma" w:cs="Tahoma"/>
                <w:sz w:val="20"/>
              </w:rPr>
              <w:t>ny i zasługuje na uwzględnienie.</w:t>
            </w:r>
            <w:r w:rsidR="00FC2AB7">
              <w:rPr>
                <w:rFonts w:ascii="Tahoma" w:hAnsi="Tahoma" w:cs="Tahoma"/>
                <w:sz w:val="20"/>
              </w:rPr>
              <w:t xml:space="preserve"> </w:t>
            </w:r>
          </w:p>
          <w:p w:rsidR="001A30A9" w:rsidRDefault="001A30A9" w:rsidP="004351E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</w:t>
            </w:r>
            <w:r w:rsidRPr="001A30A9">
              <w:rPr>
                <w:rFonts w:ascii="Tahoma" w:hAnsi="Tahoma" w:cs="Tahoma"/>
                <w:sz w:val="20"/>
              </w:rPr>
              <w:t xml:space="preserve"> </w:t>
            </w:r>
            <w:r w:rsidR="005A6F79">
              <w:rPr>
                <w:rFonts w:ascii="Tahoma" w:hAnsi="Tahoma" w:cs="Tahoma"/>
                <w:sz w:val="20"/>
              </w:rPr>
              <w:t xml:space="preserve">S.A. </w:t>
            </w:r>
            <w:r w:rsidRPr="001A30A9">
              <w:rPr>
                <w:rFonts w:ascii="Tahoma" w:hAnsi="Tahoma" w:cs="Tahoma"/>
                <w:sz w:val="20"/>
              </w:rPr>
              <w:t>oczekiwała na uregulowanie pełnego wynagrodzenia przez okres 9 miesięcy od momentu zakończenia realizacji Projektu. Zarówno w trakcie 16 miesięcy jego trwania</w:t>
            </w:r>
            <w:r w:rsidR="005A6F79">
              <w:rPr>
                <w:rFonts w:ascii="Tahoma" w:hAnsi="Tahoma" w:cs="Tahoma"/>
                <w:sz w:val="20"/>
              </w:rPr>
              <w:t>,</w:t>
            </w:r>
            <w:r w:rsidRPr="001A30A9">
              <w:rPr>
                <w:rFonts w:ascii="Tahoma" w:hAnsi="Tahoma" w:cs="Tahoma"/>
                <w:sz w:val="20"/>
              </w:rPr>
              <w:t xml:space="preserve"> jak i </w:t>
            </w:r>
            <w:proofErr w:type="spellStart"/>
            <w:r w:rsidRPr="001A30A9">
              <w:rPr>
                <w:rFonts w:ascii="Tahoma" w:hAnsi="Tahoma" w:cs="Tahoma"/>
                <w:sz w:val="20"/>
              </w:rPr>
              <w:t>po</w:t>
            </w:r>
            <w:proofErr w:type="spellEnd"/>
            <w:r w:rsidRPr="001A30A9">
              <w:rPr>
                <w:rFonts w:ascii="Tahoma" w:hAnsi="Tahoma" w:cs="Tahoma"/>
                <w:sz w:val="20"/>
              </w:rPr>
              <w:t xml:space="preserve"> jego zakończeniu, dokumentacja projektowa była wielokrotnie audytowana i kontrolowana przez audytorów zewnętrznych oraz przez ekspertów ARP. Agencja deklarowała, że kwestię rozliczenia z DGA S.A. chce rozwiązać do końca lutego</w:t>
            </w:r>
            <w:r>
              <w:rPr>
                <w:rFonts w:ascii="Tahoma" w:hAnsi="Tahoma" w:cs="Tahoma"/>
                <w:sz w:val="20"/>
              </w:rPr>
              <w:t xml:space="preserve"> 2011 r.</w:t>
            </w:r>
            <w:r w:rsidR="005A6F79">
              <w:rPr>
                <w:rFonts w:ascii="Tahoma" w:hAnsi="Tahoma" w:cs="Tahoma"/>
                <w:sz w:val="20"/>
              </w:rPr>
              <w:t xml:space="preserve">, co nie nastąpiło. </w:t>
            </w:r>
            <w:r w:rsidRPr="001A30A9">
              <w:rPr>
                <w:rFonts w:ascii="Tahoma" w:hAnsi="Tahoma" w:cs="Tahoma"/>
                <w:sz w:val="20"/>
              </w:rPr>
              <w:t xml:space="preserve">DGA S.A. była zmuszona utworzyć </w:t>
            </w:r>
            <w:r>
              <w:rPr>
                <w:rFonts w:ascii="Tahoma" w:hAnsi="Tahoma" w:cs="Tahoma"/>
                <w:sz w:val="20"/>
              </w:rPr>
              <w:t xml:space="preserve">odpis aktualizujący należności </w:t>
            </w:r>
            <w:r w:rsidRPr="001A30A9">
              <w:rPr>
                <w:rFonts w:ascii="Tahoma" w:hAnsi="Tahoma" w:cs="Tahoma"/>
                <w:sz w:val="20"/>
              </w:rPr>
              <w:t>na sporną sumę, co było bezpośrednią przyczyną osiągnięcia ujemnego wyniku finansowego przez Spółkę za 2010 rok.</w:t>
            </w:r>
          </w:p>
          <w:p w:rsidR="004351ED" w:rsidRPr="008A51FB" w:rsidRDefault="004351ED" w:rsidP="004351ED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394E2C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B7AA9"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6B7AA9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r w:rsidR="006B7AA9">
              <w:rPr>
                <w:rFonts w:ascii="Tahoma" w:hAnsi="Tahoma" w:cs="Tahoma"/>
                <w:b/>
                <w:sz w:val="20"/>
              </w:rPr>
              <w:t xml:space="preserve">   Prezes Zarządu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F79" w:rsidRDefault="005A6F79">
      <w:r>
        <w:separator/>
      </w:r>
    </w:p>
  </w:endnote>
  <w:endnote w:type="continuationSeparator" w:id="0">
    <w:p w:rsidR="005A6F79" w:rsidRDefault="005A6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9" w:rsidRDefault="005A6F7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9" w:rsidRPr="00C64F4A" w:rsidRDefault="005A6F7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6F79" w:rsidRPr="00F96658" w:rsidRDefault="005A6F7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F79" w:rsidRDefault="005A6F79">
      <w:r>
        <w:separator/>
      </w:r>
    </w:p>
  </w:footnote>
  <w:footnote w:type="continuationSeparator" w:id="0">
    <w:p w:rsidR="005A6F79" w:rsidRDefault="005A6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F79" w:rsidRPr="00F96658" w:rsidRDefault="005A6F7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44E15"/>
    <w:rsid w:val="000544E4"/>
    <w:rsid w:val="000B7EA0"/>
    <w:rsid w:val="000C14F5"/>
    <w:rsid w:val="000E135A"/>
    <w:rsid w:val="000E1B25"/>
    <w:rsid w:val="000E34C9"/>
    <w:rsid w:val="000F1307"/>
    <w:rsid w:val="00136B0C"/>
    <w:rsid w:val="00152C87"/>
    <w:rsid w:val="001614BF"/>
    <w:rsid w:val="001822F4"/>
    <w:rsid w:val="00184433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305B01"/>
    <w:rsid w:val="00314CAB"/>
    <w:rsid w:val="00315C3D"/>
    <w:rsid w:val="00316F35"/>
    <w:rsid w:val="003363A5"/>
    <w:rsid w:val="0035052B"/>
    <w:rsid w:val="00357013"/>
    <w:rsid w:val="003659F5"/>
    <w:rsid w:val="00394E2C"/>
    <w:rsid w:val="003A6A0A"/>
    <w:rsid w:val="003C202F"/>
    <w:rsid w:val="003D7D15"/>
    <w:rsid w:val="003E75F3"/>
    <w:rsid w:val="003F0689"/>
    <w:rsid w:val="004152B4"/>
    <w:rsid w:val="004335F1"/>
    <w:rsid w:val="004351ED"/>
    <w:rsid w:val="00440028"/>
    <w:rsid w:val="004426BB"/>
    <w:rsid w:val="00481350"/>
    <w:rsid w:val="004C06FE"/>
    <w:rsid w:val="004C0763"/>
    <w:rsid w:val="004C47BF"/>
    <w:rsid w:val="00502E50"/>
    <w:rsid w:val="005355AA"/>
    <w:rsid w:val="0054662D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6307"/>
    <w:rsid w:val="007720B4"/>
    <w:rsid w:val="007B2C02"/>
    <w:rsid w:val="007C5AC2"/>
    <w:rsid w:val="00813B4D"/>
    <w:rsid w:val="008324B0"/>
    <w:rsid w:val="00845989"/>
    <w:rsid w:val="008629B5"/>
    <w:rsid w:val="00876DA3"/>
    <w:rsid w:val="0088202A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906DA"/>
    <w:rsid w:val="00993E76"/>
    <w:rsid w:val="00995336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9685C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660C3"/>
    <w:rsid w:val="00B83CCA"/>
    <w:rsid w:val="00B96D3A"/>
    <w:rsid w:val="00BA3E63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27627"/>
    <w:rsid w:val="00D30065"/>
    <w:rsid w:val="00D41ED7"/>
    <w:rsid w:val="00D47410"/>
    <w:rsid w:val="00D610FE"/>
    <w:rsid w:val="00D9553C"/>
    <w:rsid w:val="00DA3859"/>
    <w:rsid w:val="00DB0DF4"/>
    <w:rsid w:val="00DB5BA8"/>
    <w:rsid w:val="00DC382E"/>
    <w:rsid w:val="00DF6E3B"/>
    <w:rsid w:val="00E436CD"/>
    <w:rsid w:val="00E75F8F"/>
    <w:rsid w:val="00EA2FDE"/>
    <w:rsid w:val="00EC18EB"/>
    <w:rsid w:val="00EE3C7F"/>
    <w:rsid w:val="00F075DE"/>
    <w:rsid w:val="00F22F9A"/>
    <w:rsid w:val="00F47424"/>
    <w:rsid w:val="00F50460"/>
    <w:rsid w:val="00F6205C"/>
    <w:rsid w:val="00F80B6B"/>
    <w:rsid w:val="00F833B8"/>
    <w:rsid w:val="00F96658"/>
    <w:rsid w:val="00FA0CC3"/>
    <w:rsid w:val="00FA6596"/>
    <w:rsid w:val="00FA6C42"/>
    <w:rsid w:val="00FB2DC5"/>
    <w:rsid w:val="00FB3FAB"/>
    <w:rsid w:val="00FB51E9"/>
    <w:rsid w:val="00FC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B9BA5-FE97-4A14-8562-DFE70D36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149</TotalTime>
  <Pages>1</Pages>
  <Words>328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6</cp:revision>
  <cp:lastPrinted>2011-03-31T12:42:00Z</cp:lastPrinted>
  <dcterms:created xsi:type="dcterms:W3CDTF">2011-03-31T09:48:00Z</dcterms:created>
  <dcterms:modified xsi:type="dcterms:W3CDTF">2011-03-31T12:56:00Z</dcterms:modified>
</cp:coreProperties>
</file>