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5D3A" w:rsidRPr="00AF2262" w:rsidRDefault="004C5D3A" w:rsidP="004C5D3A">
      <w:pPr>
        <w:jc w:val="right"/>
        <w:rPr>
          <w:rFonts w:ascii="Tahoma" w:hAnsi="Tahoma"/>
          <w:sz w:val="22"/>
          <w:szCs w:val="22"/>
        </w:rPr>
      </w:pPr>
      <w:r w:rsidRPr="00AF2262">
        <w:rPr>
          <w:rFonts w:ascii="Tahoma" w:hAnsi="Tahoma"/>
          <w:sz w:val="22"/>
          <w:szCs w:val="22"/>
        </w:rPr>
        <w:t xml:space="preserve">Poznań,  </w:t>
      </w:r>
      <w:r w:rsidR="00774122">
        <w:rPr>
          <w:rFonts w:ascii="Tahoma" w:hAnsi="Tahoma"/>
          <w:sz w:val="22"/>
          <w:szCs w:val="22"/>
        </w:rPr>
        <w:t xml:space="preserve">dnia </w:t>
      </w:r>
      <w:r w:rsidR="003722A3">
        <w:rPr>
          <w:rFonts w:ascii="Tahoma" w:hAnsi="Tahoma"/>
          <w:sz w:val="22"/>
          <w:szCs w:val="22"/>
        </w:rPr>
        <w:t>2</w:t>
      </w:r>
      <w:r w:rsidR="00F75CB6">
        <w:rPr>
          <w:rFonts w:ascii="Tahoma" w:hAnsi="Tahoma"/>
          <w:sz w:val="22"/>
          <w:szCs w:val="22"/>
        </w:rPr>
        <w:t>4</w:t>
      </w:r>
      <w:r w:rsidR="007864C0">
        <w:rPr>
          <w:rFonts w:ascii="Tahoma" w:hAnsi="Tahoma"/>
          <w:sz w:val="22"/>
          <w:szCs w:val="22"/>
        </w:rPr>
        <w:t>.</w:t>
      </w:r>
      <w:r w:rsidR="003722A3">
        <w:rPr>
          <w:rFonts w:ascii="Tahoma" w:hAnsi="Tahoma"/>
          <w:sz w:val="22"/>
          <w:szCs w:val="22"/>
        </w:rPr>
        <w:t>01</w:t>
      </w:r>
      <w:r>
        <w:rPr>
          <w:rFonts w:ascii="Tahoma" w:hAnsi="Tahoma"/>
          <w:sz w:val="22"/>
          <w:szCs w:val="22"/>
        </w:rPr>
        <w:t>.201</w:t>
      </w:r>
      <w:r w:rsidR="003722A3">
        <w:rPr>
          <w:rFonts w:ascii="Tahoma" w:hAnsi="Tahoma"/>
          <w:sz w:val="22"/>
          <w:szCs w:val="22"/>
        </w:rPr>
        <w:t>1</w:t>
      </w:r>
      <w:r>
        <w:rPr>
          <w:rFonts w:ascii="Tahoma" w:hAnsi="Tahoma"/>
          <w:sz w:val="22"/>
          <w:szCs w:val="22"/>
        </w:rPr>
        <w:t xml:space="preserve"> r.</w:t>
      </w:r>
    </w:p>
    <w:p w:rsidR="004C5D3A" w:rsidRPr="00AF2262" w:rsidRDefault="004C5D3A" w:rsidP="004C5D3A">
      <w:pPr>
        <w:jc w:val="right"/>
        <w:rPr>
          <w:rFonts w:ascii="Tahoma" w:hAnsi="Tahoma"/>
          <w:sz w:val="22"/>
          <w:szCs w:val="22"/>
        </w:rPr>
      </w:pPr>
    </w:p>
    <w:p w:rsidR="004C5D3A" w:rsidRPr="00AF2262" w:rsidRDefault="004C5D3A" w:rsidP="004C5D3A">
      <w:pPr>
        <w:rPr>
          <w:rFonts w:ascii="Tahoma" w:hAnsi="Tahoma"/>
          <w:sz w:val="20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8"/>
        <w:gridCol w:w="8540"/>
      </w:tblGrid>
      <w:tr w:rsidR="004C5D3A" w:rsidRPr="00AF2262" w:rsidTr="00120F2A">
        <w:trPr>
          <w:trHeight w:val="851"/>
        </w:trPr>
        <w:tc>
          <w:tcPr>
            <w:tcW w:w="1108" w:type="dxa"/>
          </w:tcPr>
          <w:p w:rsidR="004C5D3A" w:rsidRPr="00AF2262" w:rsidRDefault="004C5D3A" w:rsidP="00120F2A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Adresaci:</w:t>
            </w:r>
          </w:p>
        </w:tc>
        <w:tc>
          <w:tcPr>
            <w:tcW w:w="8540" w:type="dxa"/>
          </w:tcPr>
          <w:p w:rsidR="004C5D3A" w:rsidRPr="00AF2262" w:rsidRDefault="004C5D3A" w:rsidP="00120F2A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Kancelaria Publiczna KNF</w:t>
            </w:r>
          </w:p>
          <w:p w:rsidR="004C5D3A" w:rsidRPr="00AF2262" w:rsidRDefault="004C5D3A" w:rsidP="00120F2A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Emitentów GPW</w:t>
            </w:r>
          </w:p>
          <w:p w:rsidR="004C5D3A" w:rsidRPr="00AF2262" w:rsidRDefault="004C5D3A" w:rsidP="00120F2A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Emitencki i Notowań PAP</w:t>
            </w:r>
          </w:p>
          <w:p w:rsidR="004C5D3A" w:rsidRPr="00AF2262" w:rsidRDefault="004C5D3A" w:rsidP="00120F2A">
            <w:pPr>
              <w:rPr>
                <w:rFonts w:ascii="Tahoma" w:hAnsi="Tahoma" w:cs="Tahoma"/>
                <w:sz w:val="20"/>
              </w:rPr>
            </w:pPr>
          </w:p>
        </w:tc>
      </w:tr>
      <w:tr w:rsidR="004C5D3A" w:rsidRPr="00AF2262" w:rsidTr="00BD25FC">
        <w:trPr>
          <w:trHeight w:val="592"/>
        </w:trPr>
        <w:tc>
          <w:tcPr>
            <w:tcW w:w="11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C5D3A" w:rsidRPr="00AF2262" w:rsidRDefault="004C5D3A" w:rsidP="00BD25FC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Tytuł:</w:t>
            </w:r>
          </w:p>
        </w:tc>
        <w:tc>
          <w:tcPr>
            <w:tcW w:w="85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C5D3A" w:rsidRPr="003F34CE" w:rsidRDefault="003722A3" w:rsidP="00BD25FC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Terminy publikacji raportów okresowych w 2011 roku</w:t>
            </w:r>
          </w:p>
        </w:tc>
      </w:tr>
      <w:tr w:rsidR="004C5D3A" w:rsidRPr="00AF2262" w:rsidTr="00BD25FC">
        <w:trPr>
          <w:trHeight w:val="424"/>
        </w:trPr>
        <w:tc>
          <w:tcPr>
            <w:tcW w:w="9648" w:type="dxa"/>
            <w:gridSpan w:val="2"/>
            <w:tcBorders>
              <w:top w:val="single" w:sz="4" w:space="0" w:color="auto"/>
            </w:tcBorders>
            <w:vAlign w:val="center"/>
          </w:tcPr>
          <w:p w:rsidR="004C5D3A" w:rsidRPr="00AF2262" w:rsidRDefault="004C5D3A" w:rsidP="00BD25FC">
            <w:pPr>
              <w:rPr>
                <w:rFonts w:ascii="Tahoma" w:hAnsi="Tahoma" w:cs="Tahoma"/>
                <w:b/>
                <w:sz w:val="20"/>
              </w:rPr>
            </w:pPr>
            <w:r w:rsidRPr="00AF2262">
              <w:rPr>
                <w:rFonts w:ascii="Tahoma" w:hAnsi="Tahoma" w:cs="Tahoma"/>
                <w:b/>
                <w:sz w:val="20"/>
              </w:rPr>
              <w:t xml:space="preserve">Raport bieżący nr </w:t>
            </w:r>
            <w:r w:rsidR="003722A3">
              <w:rPr>
                <w:rFonts w:ascii="Tahoma" w:hAnsi="Tahoma" w:cs="Tahoma"/>
                <w:b/>
                <w:sz w:val="20"/>
              </w:rPr>
              <w:t>1</w:t>
            </w:r>
            <w:r>
              <w:rPr>
                <w:rFonts w:ascii="Tahoma" w:hAnsi="Tahoma" w:cs="Tahoma"/>
                <w:b/>
                <w:sz w:val="20"/>
              </w:rPr>
              <w:t>/201</w:t>
            </w:r>
            <w:r w:rsidR="003722A3">
              <w:rPr>
                <w:rFonts w:ascii="Tahoma" w:hAnsi="Tahoma" w:cs="Tahoma"/>
                <w:b/>
                <w:sz w:val="20"/>
              </w:rPr>
              <w:t>1</w:t>
            </w:r>
          </w:p>
        </w:tc>
      </w:tr>
      <w:tr w:rsidR="004C5D3A" w:rsidRPr="0053552F" w:rsidTr="00120F2A">
        <w:trPr>
          <w:trHeight w:val="524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3722A3" w:rsidRDefault="003722A3" w:rsidP="003722A3">
            <w:pPr>
              <w:jc w:val="both"/>
              <w:rPr>
                <w:rFonts w:ascii="Tahoma" w:hAnsi="Tahoma" w:cs="Tahoma"/>
                <w:sz w:val="20"/>
              </w:rPr>
            </w:pPr>
          </w:p>
          <w:p w:rsidR="003722A3" w:rsidRDefault="003722A3" w:rsidP="003722A3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Na podstawie </w:t>
            </w:r>
            <w:r w:rsidRPr="0012368C">
              <w:rPr>
                <w:rFonts w:ascii="Arial" w:hAnsi="Arial" w:cs="Arial"/>
                <w:sz w:val="20"/>
              </w:rPr>
              <w:t>§</w:t>
            </w:r>
            <w:r>
              <w:rPr>
                <w:rFonts w:ascii="Arial" w:hAnsi="Arial" w:cs="Arial"/>
                <w:sz w:val="20"/>
              </w:rPr>
              <w:t xml:space="preserve"> 103 ust. 1 Rozporządzenia Ministra Finansów z dn. 19 lutego 2009 r. w sprawie informacji bieżących i okresowych przekazywanych przez emitentów papierów wartościowych oraz warunków uznawania za równoważne informacji wymaganych przepisami prawa państwa niebędącego państwem członkowskim,</w:t>
            </w:r>
            <w:r w:rsidR="00673CDE">
              <w:rPr>
                <w:rFonts w:ascii="Arial" w:hAnsi="Arial" w:cs="Arial"/>
                <w:sz w:val="20"/>
              </w:rPr>
              <w:t xml:space="preserve"> zwanego dalej „Rozporządzeniem</w:t>
            </w:r>
            <w:r w:rsidR="00367847">
              <w:rPr>
                <w:rFonts w:ascii="Arial" w:hAnsi="Arial" w:cs="Arial"/>
                <w:sz w:val="20"/>
              </w:rPr>
              <w:t>”,</w:t>
            </w:r>
            <w:r>
              <w:rPr>
                <w:rFonts w:ascii="Tahoma" w:hAnsi="Tahoma" w:cs="Tahoma"/>
                <w:sz w:val="20"/>
              </w:rPr>
              <w:t xml:space="preserve"> </w:t>
            </w:r>
            <w:r w:rsidRPr="00D03A1E">
              <w:rPr>
                <w:rFonts w:ascii="Tahoma" w:hAnsi="Tahoma" w:cs="Tahoma"/>
                <w:sz w:val="20"/>
              </w:rPr>
              <w:t xml:space="preserve">Zarząd Spółki DGA S.A. </w:t>
            </w:r>
            <w:r>
              <w:rPr>
                <w:rFonts w:ascii="Tahoma" w:hAnsi="Tahoma" w:cs="Tahoma"/>
                <w:sz w:val="20"/>
              </w:rPr>
              <w:t xml:space="preserve">podaje do wiadomości terminy publikacji </w:t>
            </w:r>
            <w:r w:rsidR="00367847">
              <w:rPr>
                <w:rFonts w:ascii="Tahoma" w:hAnsi="Tahoma" w:cs="Tahoma"/>
                <w:sz w:val="20"/>
              </w:rPr>
              <w:t>raportów okresowych w 2011 roku:</w:t>
            </w:r>
          </w:p>
          <w:p w:rsidR="003722A3" w:rsidRPr="00D03A1E" w:rsidRDefault="003722A3" w:rsidP="003722A3">
            <w:pPr>
              <w:jc w:val="both"/>
              <w:rPr>
                <w:rFonts w:ascii="Tahoma" w:hAnsi="Tahoma" w:cs="Tahoma"/>
                <w:sz w:val="20"/>
              </w:rPr>
            </w:pPr>
          </w:p>
          <w:p w:rsidR="003722A3" w:rsidRDefault="003722A3" w:rsidP="003722A3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Jednostkowy raport roczny oraz skonsolidowany raport roczny za 2010 rok – 21 marca 2011 r.</w:t>
            </w:r>
          </w:p>
          <w:p w:rsidR="003722A3" w:rsidRDefault="003722A3" w:rsidP="003722A3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Rozszerzony skonsolidowany raport za I kwartał 2011 roku – 1</w:t>
            </w:r>
            <w:r w:rsidR="00521618">
              <w:rPr>
                <w:rFonts w:ascii="Arial" w:hAnsi="Arial" w:cs="Arial"/>
                <w:sz w:val="20"/>
              </w:rPr>
              <w:t>1</w:t>
            </w:r>
            <w:r>
              <w:rPr>
                <w:rFonts w:ascii="Arial" w:hAnsi="Arial" w:cs="Arial"/>
                <w:sz w:val="20"/>
              </w:rPr>
              <w:t xml:space="preserve"> maja 2011 r.</w:t>
            </w:r>
          </w:p>
          <w:p w:rsidR="003722A3" w:rsidRDefault="003722A3" w:rsidP="003722A3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Rozszerzony skonsolidowany raport za I półrocze 2011 roku – 31 sierpnia 2011 r.</w:t>
            </w:r>
          </w:p>
          <w:p w:rsidR="003722A3" w:rsidRDefault="003722A3" w:rsidP="003722A3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Rozszerzony skonsolidowany raport za III kwartał 2011 roku – </w:t>
            </w:r>
            <w:r w:rsidR="00521618">
              <w:rPr>
                <w:rFonts w:ascii="Arial" w:hAnsi="Arial" w:cs="Arial"/>
                <w:sz w:val="20"/>
              </w:rPr>
              <w:t>9</w:t>
            </w:r>
            <w:r>
              <w:rPr>
                <w:rFonts w:ascii="Arial" w:hAnsi="Arial" w:cs="Arial"/>
                <w:sz w:val="20"/>
              </w:rPr>
              <w:t xml:space="preserve"> listopada 2011 r.</w:t>
            </w:r>
          </w:p>
          <w:p w:rsidR="003722A3" w:rsidRDefault="003722A3" w:rsidP="003722A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</w:rPr>
            </w:pPr>
          </w:p>
          <w:p w:rsidR="003722A3" w:rsidRPr="0012368C" w:rsidRDefault="003722A3" w:rsidP="003722A3">
            <w:pPr>
              <w:autoSpaceDE w:val="0"/>
              <w:autoSpaceDN w:val="0"/>
              <w:adjustRightInd w:val="0"/>
              <w:jc w:val="both"/>
              <w:rPr>
                <w:ins w:id="0" w:author="r_sroka" w:date="2010-01-06T12:49:00Z"/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Zarząd</w:t>
            </w:r>
            <w:r w:rsidRPr="0012368C">
              <w:rPr>
                <w:rFonts w:ascii="Arial" w:hAnsi="Arial" w:cs="Arial"/>
                <w:sz w:val="20"/>
              </w:rPr>
              <w:t xml:space="preserve"> DGA S.A. oświadcza, że zgodnie z § 83 ust. 1 i 3 </w:t>
            </w:r>
            <w:r>
              <w:rPr>
                <w:rFonts w:ascii="Arial" w:hAnsi="Arial" w:cs="Arial"/>
                <w:sz w:val="20"/>
              </w:rPr>
              <w:t xml:space="preserve">Rozporządzenia, </w:t>
            </w:r>
            <w:r w:rsidR="00367847">
              <w:rPr>
                <w:rFonts w:ascii="Arial" w:hAnsi="Arial" w:cs="Arial"/>
                <w:sz w:val="20"/>
              </w:rPr>
              <w:t>n</w:t>
            </w:r>
            <w:r>
              <w:rPr>
                <w:rFonts w:ascii="Arial" w:hAnsi="Arial" w:cs="Arial"/>
                <w:sz w:val="20"/>
              </w:rPr>
              <w:t xml:space="preserve">ie będzie przekazywał odrębnych jednostkowych raportów kwartalnych i półrocznego oraz zgodnie z </w:t>
            </w:r>
            <w:r w:rsidRPr="0012368C">
              <w:rPr>
                <w:rFonts w:ascii="Arial" w:hAnsi="Arial" w:cs="Arial"/>
                <w:sz w:val="20"/>
              </w:rPr>
              <w:t>§</w:t>
            </w:r>
            <w:r>
              <w:rPr>
                <w:rFonts w:ascii="Arial" w:hAnsi="Arial" w:cs="Arial"/>
                <w:sz w:val="20"/>
              </w:rPr>
              <w:t xml:space="preserve"> 102 ust. 1 i </w:t>
            </w:r>
            <w:r w:rsidRPr="0012368C">
              <w:rPr>
                <w:rFonts w:ascii="Arial" w:hAnsi="Arial" w:cs="Arial"/>
                <w:sz w:val="20"/>
              </w:rPr>
              <w:t>§</w:t>
            </w:r>
            <w:r>
              <w:rPr>
                <w:rFonts w:ascii="Arial" w:hAnsi="Arial" w:cs="Arial"/>
                <w:sz w:val="20"/>
              </w:rPr>
              <w:t xml:space="preserve"> 101 ust. 2 Rozporządzenia, nie będzie publikował raportów kwartalnych za IV kwartał 2010 roku oraz II kwartał 2011 roku.</w:t>
            </w:r>
          </w:p>
          <w:p w:rsidR="00F13C3C" w:rsidRPr="008A51FB" w:rsidRDefault="00F13C3C" w:rsidP="009C200A">
            <w:pPr>
              <w:jc w:val="both"/>
              <w:rPr>
                <w:rFonts w:ascii="Tahoma" w:hAnsi="Tahoma" w:cs="Tahoma"/>
                <w:sz w:val="20"/>
              </w:rPr>
            </w:pPr>
          </w:p>
        </w:tc>
      </w:tr>
      <w:tr w:rsidR="004C5D3A" w:rsidRPr="00AF2262" w:rsidTr="00120F2A">
        <w:trPr>
          <w:trHeight w:val="421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4C5D3A" w:rsidRPr="007F1C0C" w:rsidRDefault="008716B3" w:rsidP="00AB5910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Podstawa prawna: </w:t>
            </w:r>
            <w:r w:rsidR="007864C0" w:rsidRPr="00AF2262">
              <w:rPr>
                <w:rFonts w:ascii="Tahoma" w:hAnsi="Tahoma" w:cs="Tahoma"/>
                <w:sz w:val="20"/>
              </w:rPr>
              <w:t xml:space="preserve">Artykuł 56 ust. 1 </w:t>
            </w:r>
            <w:proofErr w:type="spellStart"/>
            <w:r w:rsidR="007864C0" w:rsidRPr="00AF2262">
              <w:rPr>
                <w:rFonts w:ascii="Tahoma" w:hAnsi="Tahoma" w:cs="Tahoma"/>
                <w:sz w:val="20"/>
              </w:rPr>
              <w:t>pkt</w:t>
            </w:r>
            <w:proofErr w:type="spellEnd"/>
            <w:r w:rsidR="007864C0" w:rsidRPr="00AF2262">
              <w:rPr>
                <w:rFonts w:ascii="Tahoma" w:hAnsi="Tahoma" w:cs="Tahoma"/>
                <w:sz w:val="20"/>
              </w:rPr>
              <w:t xml:space="preserve"> 2 Ustawy o ofercie</w:t>
            </w:r>
          </w:p>
        </w:tc>
      </w:tr>
      <w:tr w:rsidR="004C5D3A" w:rsidRPr="00AF2262" w:rsidTr="00120F2A">
        <w:trPr>
          <w:trHeight w:val="347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C5D3A" w:rsidRPr="00AF2262" w:rsidRDefault="004C5D3A" w:rsidP="00120F2A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Podpis osoby upoważnionej do reprezentowania Emitenta:</w:t>
            </w:r>
          </w:p>
        </w:tc>
      </w:tr>
      <w:tr w:rsidR="004C5D3A" w:rsidRPr="00AF2262" w:rsidTr="00120F2A">
        <w:trPr>
          <w:trHeight w:val="706"/>
        </w:trPr>
        <w:tc>
          <w:tcPr>
            <w:tcW w:w="9648" w:type="dxa"/>
            <w:gridSpan w:val="2"/>
          </w:tcPr>
          <w:p w:rsidR="004C5D3A" w:rsidRPr="00AF2262" w:rsidRDefault="004C5D3A" w:rsidP="00120F2A">
            <w:pPr>
              <w:rPr>
                <w:rFonts w:ascii="Tahoma" w:hAnsi="Tahoma" w:cs="Tahoma"/>
                <w:b/>
                <w:sz w:val="20"/>
              </w:rPr>
            </w:pPr>
          </w:p>
          <w:p w:rsidR="004C5D3A" w:rsidRPr="00AF2262" w:rsidRDefault="004C5D3A" w:rsidP="00120F2A">
            <w:pPr>
              <w:rPr>
                <w:rFonts w:ascii="Tahoma" w:hAnsi="Tahoma" w:cs="Tahoma"/>
                <w:b/>
                <w:sz w:val="20"/>
              </w:rPr>
            </w:pPr>
            <w:r w:rsidRPr="00AF2262">
              <w:rPr>
                <w:rFonts w:ascii="Tahoma" w:hAnsi="Tahoma" w:cs="Tahoma"/>
                <w:b/>
                <w:sz w:val="20"/>
              </w:rPr>
              <w:tab/>
            </w:r>
            <w:r w:rsidR="00685DD4">
              <w:rPr>
                <w:rFonts w:ascii="Tahoma" w:hAnsi="Tahoma" w:cs="Tahoma"/>
                <w:b/>
                <w:sz w:val="20"/>
              </w:rPr>
              <w:t>Anna Olszowa</w:t>
            </w:r>
          </w:p>
          <w:p w:rsidR="004C5D3A" w:rsidRPr="00AF2262" w:rsidRDefault="004C5D3A" w:rsidP="00120F2A">
            <w:pPr>
              <w:rPr>
                <w:rFonts w:ascii="Tahoma" w:hAnsi="Tahoma" w:cs="Tahoma"/>
                <w:b/>
                <w:sz w:val="20"/>
              </w:rPr>
            </w:pPr>
          </w:p>
          <w:p w:rsidR="004C5D3A" w:rsidRPr="00AF2262" w:rsidRDefault="00685DD4" w:rsidP="00685DD4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  Prokurent Spółki</w:t>
            </w:r>
          </w:p>
        </w:tc>
      </w:tr>
    </w:tbl>
    <w:p w:rsidR="00AF4EC0" w:rsidRPr="004C5D3A" w:rsidRDefault="00AF4EC0" w:rsidP="004C5D3A"/>
    <w:sectPr w:rsidR="00AF4EC0" w:rsidRPr="004C5D3A" w:rsidSect="007140B9">
      <w:footerReference w:type="default" r:id="rId8"/>
      <w:headerReference w:type="first" r:id="rId9"/>
      <w:footerReference w:type="first" r:id="rId10"/>
      <w:pgSz w:w="11906" w:h="16838" w:code="9"/>
      <w:pgMar w:top="1418" w:right="1162" w:bottom="1418" w:left="1162" w:header="510" w:footer="79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02F4" w:rsidRDefault="002002F4">
      <w:r>
        <w:separator/>
      </w:r>
    </w:p>
  </w:endnote>
  <w:endnote w:type="continuationSeparator" w:id="0">
    <w:p w:rsidR="002002F4" w:rsidRDefault="002002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2F4" w:rsidRDefault="002002F4">
    <w:pPr>
      <w:pStyle w:val="Stopka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-114300</wp:posOffset>
          </wp:positionH>
          <wp:positionV relativeFrom="paragraph">
            <wp:posOffset>-422910</wp:posOffset>
          </wp:positionV>
          <wp:extent cx="6411595" cy="1169670"/>
          <wp:effectExtent l="19050" t="0" r="8255" b="0"/>
          <wp:wrapNone/>
          <wp:docPr id="5" name="Obraz 5" descr="stopka-kontynuacj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stopka-kontynuacj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11595" cy="11696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2F4" w:rsidRPr="00C64F4A" w:rsidRDefault="002002F4" w:rsidP="005355AA">
    <w:pPr>
      <w:pStyle w:val="Stopka"/>
      <w:jc w:val="both"/>
      <w:rPr>
        <w:sz w:val="20"/>
      </w:rPr>
    </w:pPr>
  </w:p>
  <w:p w:rsidR="002002F4" w:rsidRPr="00F96658" w:rsidRDefault="002002F4" w:rsidP="00EE3C7F">
    <w:pPr>
      <w:pStyle w:val="Stopka"/>
      <w:jc w:val="center"/>
      <w:rPr>
        <w:rFonts w:ascii="Tahoma" w:hAnsi="Tahoma" w:cs="Tahoma"/>
        <w:sz w:val="16"/>
        <w:szCs w:val="16"/>
      </w:rPr>
    </w:pPr>
    <w:r>
      <w:rPr>
        <w:noProof/>
        <w:sz w:val="20"/>
      </w:rPr>
      <w:drawing>
        <wp:inline distT="0" distB="0" distL="0" distR="0">
          <wp:extent cx="5791200" cy="1371600"/>
          <wp:effectExtent l="1905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91200" cy="1371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02F4" w:rsidRDefault="002002F4">
      <w:r>
        <w:separator/>
      </w:r>
    </w:p>
  </w:footnote>
  <w:footnote w:type="continuationSeparator" w:id="0">
    <w:p w:rsidR="002002F4" w:rsidRDefault="002002F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2F4" w:rsidRPr="00F96658" w:rsidRDefault="002002F4" w:rsidP="00F96658">
    <w:pPr>
      <w:pStyle w:val="Nagwek"/>
      <w:rPr>
        <w:rFonts w:ascii="Tahoma" w:hAnsi="Tahoma" w:cs="Tahoma"/>
        <w:sz w:val="16"/>
        <w:szCs w:val="18"/>
      </w:rPr>
    </w:pPr>
  </w:p>
  <w:p w:rsidR="002002F4" w:rsidRPr="00F96658" w:rsidRDefault="002002F4">
    <w:pPr>
      <w:pStyle w:val="Nagwek"/>
      <w:rPr>
        <w:rFonts w:ascii="Tahoma" w:hAnsi="Tahoma" w:cs="Tahoma"/>
        <w:sz w:val="20"/>
        <w:szCs w:val="16"/>
      </w:rPr>
    </w:pPr>
    <w:r>
      <w:rPr>
        <w:rFonts w:ascii="Tahoma" w:hAnsi="Tahoma" w:cs="Tahoma"/>
        <w:noProof/>
        <w:sz w:val="16"/>
        <w:szCs w:val="18"/>
      </w:rPr>
      <w:drawing>
        <wp:inline distT="0" distB="0" distL="0" distR="0">
          <wp:extent cx="1800225" cy="1219200"/>
          <wp:effectExtent l="19050" t="0" r="9525" b="0"/>
          <wp:docPr id="1" name="Obraz 1" descr="logo_DGA_2010_male_s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logo_DGA_2010_male_sRG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0225" cy="1219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2D56AB"/>
    <w:multiLevelType w:val="hybridMultilevel"/>
    <w:tmpl w:val="DA5EEEB0"/>
    <w:lvl w:ilvl="0" w:tplc="407EAF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614AD09E">
      <w:start w:val="1"/>
      <w:numFmt w:val="decimal"/>
      <w:lvlText w:val="%2)"/>
      <w:lvlJc w:val="left"/>
      <w:pPr>
        <w:ind w:left="1440" w:hanging="360"/>
      </w:pPr>
      <w:rPr>
        <w:rFonts w:ascii="Tahoma" w:eastAsia="Times New Roman" w:hAnsi="Tahoma" w:cs="Tahoma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E415A4"/>
    <w:multiLevelType w:val="hybridMultilevel"/>
    <w:tmpl w:val="EF5EAB6E"/>
    <w:lvl w:ilvl="0" w:tplc="117AFB30">
      <w:start w:val="1"/>
      <w:numFmt w:val="decimal"/>
      <w:lvlText w:val="%1."/>
      <w:lvlJc w:val="left"/>
      <w:pPr>
        <w:ind w:left="720" w:hanging="360"/>
      </w:pPr>
      <w:rPr>
        <w:rFonts w:ascii="Tahoma" w:hAnsi="Tahom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C90720"/>
    <w:multiLevelType w:val="hybridMultilevel"/>
    <w:tmpl w:val="54247C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08788C"/>
    <w:multiLevelType w:val="hybridMultilevel"/>
    <w:tmpl w:val="CFC8C8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8058C4"/>
    <w:multiLevelType w:val="hybridMultilevel"/>
    <w:tmpl w:val="398E4A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8E62A4A"/>
    <w:multiLevelType w:val="hybridMultilevel"/>
    <w:tmpl w:val="ED4C26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A726C2"/>
    <w:multiLevelType w:val="hybridMultilevel"/>
    <w:tmpl w:val="F71A6900"/>
    <w:lvl w:ilvl="0" w:tplc="B2145EEC">
      <w:start w:val="1"/>
      <w:numFmt w:val="bullet"/>
      <w:lvlText w:val="-"/>
      <w:lvlJc w:val="left"/>
      <w:pPr>
        <w:ind w:left="144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0"/>
  </w:num>
  <w:num w:numId="5">
    <w:abstractNumId w:val="2"/>
  </w:num>
  <w:num w:numId="6">
    <w:abstractNumId w:val="3"/>
  </w:num>
  <w:num w:numId="7">
    <w:abstractNumId w:val="7"/>
  </w:num>
  <w:num w:numId="8">
    <w:abstractNumId w:val="8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revisionView w:markup="0"/>
  <w:defaultTabStop w:val="708"/>
  <w:hyphenationZone w:val="425"/>
  <w:characterSpacingControl w:val="doNotCompress"/>
  <w:hdrShapeDefaults>
    <o:shapedefaults v:ext="edit" spidmax="35841"/>
  </w:hdrShapeDefaults>
  <w:footnotePr>
    <w:footnote w:id="-1"/>
    <w:footnote w:id="0"/>
  </w:footnotePr>
  <w:endnotePr>
    <w:endnote w:id="-1"/>
    <w:endnote w:id="0"/>
  </w:endnotePr>
  <w:compat/>
  <w:rsids>
    <w:rsidRoot w:val="001614BF"/>
    <w:rsid w:val="00017CFE"/>
    <w:rsid w:val="000332CB"/>
    <w:rsid w:val="00044E15"/>
    <w:rsid w:val="00094A3E"/>
    <w:rsid w:val="00097370"/>
    <w:rsid w:val="000B7EA0"/>
    <w:rsid w:val="000C14F5"/>
    <w:rsid w:val="000E135A"/>
    <w:rsid w:val="000F1307"/>
    <w:rsid w:val="001030E6"/>
    <w:rsid w:val="00120F2A"/>
    <w:rsid w:val="00151C3A"/>
    <w:rsid w:val="00152C87"/>
    <w:rsid w:val="001614BF"/>
    <w:rsid w:val="0017168E"/>
    <w:rsid w:val="001719D7"/>
    <w:rsid w:val="001849EF"/>
    <w:rsid w:val="00186941"/>
    <w:rsid w:val="001F01CC"/>
    <w:rsid w:val="002002F4"/>
    <w:rsid w:val="0022266B"/>
    <w:rsid w:val="00227034"/>
    <w:rsid w:val="002436FA"/>
    <w:rsid w:val="0026350A"/>
    <w:rsid w:val="00270B13"/>
    <w:rsid w:val="00271F64"/>
    <w:rsid w:val="002848E5"/>
    <w:rsid w:val="002B209D"/>
    <w:rsid w:val="002C28B9"/>
    <w:rsid w:val="00305B01"/>
    <w:rsid w:val="00314CAB"/>
    <w:rsid w:val="0032125A"/>
    <w:rsid w:val="003363A5"/>
    <w:rsid w:val="00350670"/>
    <w:rsid w:val="0035431C"/>
    <w:rsid w:val="003659F5"/>
    <w:rsid w:val="00367847"/>
    <w:rsid w:val="003722A3"/>
    <w:rsid w:val="0038424B"/>
    <w:rsid w:val="003A6A0A"/>
    <w:rsid w:val="003B0833"/>
    <w:rsid w:val="003C202F"/>
    <w:rsid w:val="003E6E8C"/>
    <w:rsid w:val="00414887"/>
    <w:rsid w:val="004152B4"/>
    <w:rsid w:val="00417225"/>
    <w:rsid w:val="00436230"/>
    <w:rsid w:val="00440028"/>
    <w:rsid w:val="004426BB"/>
    <w:rsid w:val="00471F81"/>
    <w:rsid w:val="00474FAD"/>
    <w:rsid w:val="004A6A94"/>
    <w:rsid w:val="004C0763"/>
    <w:rsid w:val="004C3376"/>
    <w:rsid w:val="004C5D3A"/>
    <w:rsid w:val="004D44FD"/>
    <w:rsid w:val="00502E50"/>
    <w:rsid w:val="00514816"/>
    <w:rsid w:val="00521618"/>
    <w:rsid w:val="005241F2"/>
    <w:rsid w:val="005355AA"/>
    <w:rsid w:val="0054662D"/>
    <w:rsid w:val="005A14C5"/>
    <w:rsid w:val="005F2DD0"/>
    <w:rsid w:val="0060047E"/>
    <w:rsid w:val="0060179D"/>
    <w:rsid w:val="00602188"/>
    <w:rsid w:val="0061150D"/>
    <w:rsid w:val="00625B6A"/>
    <w:rsid w:val="00635EDA"/>
    <w:rsid w:val="00640DA2"/>
    <w:rsid w:val="00655B6C"/>
    <w:rsid w:val="006666EE"/>
    <w:rsid w:val="00670E24"/>
    <w:rsid w:val="00673CDE"/>
    <w:rsid w:val="00680EE5"/>
    <w:rsid w:val="00682D36"/>
    <w:rsid w:val="00685DD4"/>
    <w:rsid w:val="006B62C7"/>
    <w:rsid w:val="006C6783"/>
    <w:rsid w:val="006D0D49"/>
    <w:rsid w:val="00706624"/>
    <w:rsid w:val="007140B9"/>
    <w:rsid w:val="0072101E"/>
    <w:rsid w:val="00734D18"/>
    <w:rsid w:val="007461A0"/>
    <w:rsid w:val="007553CC"/>
    <w:rsid w:val="00774122"/>
    <w:rsid w:val="00785DAB"/>
    <w:rsid w:val="007864C0"/>
    <w:rsid w:val="007F1C0C"/>
    <w:rsid w:val="00800114"/>
    <w:rsid w:val="00813B4D"/>
    <w:rsid w:val="00836B74"/>
    <w:rsid w:val="008716B3"/>
    <w:rsid w:val="008A51FB"/>
    <w:rsid w:val="008C4BA4"/>
    <w:rsid w:val="008D1A31"/>
    <w:rsid w:val="008D5848"/>
    <w:rsid w:val="008E6647"/>
    <w:rsid w:val="00905491"/>
    <w:rsid w:val="00917AE0"/>
    <w:rsid w:val="00963BDC"/>
    <w:rsid w:val="009705E4"/>
    <w:rsid w:val="00983A8A"/>
    <w:rsid w:val="009C200A"/>
    <w:rsid w:val="009C59B1"/>
    <w:rsid w:val="009F14F1"/>
    <w:rsid w:val="00A14A0C"/>
    <w:rsid w:val="00A356A7"/>
    <w:rsid w:val="00A36625"/>
    <w:rsid w:val="00A5003E"/>
    <w:rsid w:val="00A62F87"/>
    <w:rsid w:val="00A6694E"/>
    <w:rsid w:val="00A9685C"/>
    <w:rsid w:val="00AA68B6"/>
    <w:rsid w:val="00AB5910"/>
    <w:rsid w:val="00AD0578"/>
    <w:rsid w:val="00AD2258"/>
    <w:rsid w:val="00AD3E54"/>
    <w:rsid w:val="00AF1A5D"/>
    <w:rsid w:val="00AF4EC0"/>
    <w:rsid w:val="00B07760"/>
    <w:rsid w:val="00B1220C"/>
    <w:rsid w:val="00B1535F"/>
    <w:rsid w:val="00B22FD6"/>
    <w:rsid w:val="00B31D58"/>
    <w:rsid w:val="00B37C88"/>
    <w:rsid w:val="00B50963"/>
    <w:rsid w:val="00B777A6"/>
    <w:rsid w:val="00B905AE"/>
    <w:rsid w:val="00BB4243"/>
    <w:rsid w:val="00BD25FC"/>
    <w:rsid w:val="00BF0205"/>
    <w:rsid w:val="00BF1F7F"/>
    <w:rsid w:val="00BF2103"/>
    <w:rsid w:val="00BF2427"/>
    <w:rsid w:val="00BF3C53"/>
    <w:rsid w:val="00BF78DA"/>
    <w:rsid w:val="00C047FB"/>
    <w:rsid w:val="00C134A1"/>
    <w:rsid w:val="00C17B72"/>
    <w:rsid w:val="00C36380"/>
    <w:rsid w:val="00C44417"/>
    <w:rsid w:val="00C456C6"/>
    <w:rsid w:val="00C64F4A"/>
    <w:rsid w:val="00C72102"/>
    <w:rsid w:val="00C92427"/>
    <w:rsid w:val="00CB2034"/>
    <w:rsid w:val="00CE6E7F"/>
    <w:rsid w:val="00D26147"/>
    <w:rsid w:val="00D41ED7"/>
    <w:rsid w:val="00D610FE"/>
    <w:rsid w:val="00D9553C"/>
    <w:rsid w:val="00DB0DF4"/>
    <w:rsid w:val="00DB5BA8"/>
    <w:rsid w:val="00DC382E"/>
    <w:rsid w:val="00DF6E3B"/>
    <w:rsid w:val="00DF7936"/>
    <w:rsid w:val="00E012DC"/>
    <w:rsid w:val="00E247F0"/>
    <w:rsid w:val="00E75F8F"/>
    <w:rsid w:val="00E92CD0"/>
    <w:rsid w:val="00EA2FDE"/>
    <w:rsid w:val="00ED2E93"/>
    <w:rsid w:val="00EE3C7F"/>
    <w:rsid w:val="00EF5D1B"/>
    <w:rsid w:val="00F0787A"/>
    <w:rsid w:val="00F13C3C"/>
    <w:rsid w:val="00F210A7"/>
    <w:rsid w:val="00F22F9A"/>
    <w:rsid w:val="00F5123A"/>
    <w:rsid w:val="00F64E17"/>
    <w:rsid w:val="00F75CB6"/>
    <w:rsid w:val="00F80B6B"/>
    <w:rsid w:val="00F81E21"/>
    <w:rsid w:val="00F833B8"/>
    <w:rsid w:val="00F96658"/>
    <w:rsid w:val="00FA0CC3"/>
    <w:rsid w:val="00FA6596"/>
    <w:rsid w:val="00FA6611"/>
    <w:rsid w:val="00FA6C42"/>
    <w:rsid w:val="00FA778D"/>
    <w:rsid w:val="00FB51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rsid w:val="00120F2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20F2A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rsid w:val="00120F2A"/>
    <w:pPr>
      <w:jc w:val="center"/>
    </w:pPr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20F2A"/>
    <w:rPr>
      <w:rFonts w:ascii="Arial" w:hAnsi="Arial" w:cs="Arial"/>
      <w:sz w:val="22"/>
      <w:szCs w:val="22"/>
    </w:rPr>
  </w:style>
  <w:style w:type="paragraph" w:styleId="Akapitzlist">
    <w:name w:val="List Paragraph"/>
    <w:basedOn w:val="Normalny"/>
    <w:uiPriority w:val="34"/>
    <w:qFormat/>
    <w:rsid w:val="00706624"/>
    <w:pPr>
      <w:ind w:left="720"/>
      <w:contextualSpacing/>
    </w:pPr>
  </w:style>
  <w:style w:type="character" w:styleId="Hipercze">
    <w:name w:val="Hyperlink"/>
    <w:basedOn w:val="Domylnaczcionkaakapitu"/>
    <w:rsid w:val="00706624"/>
    <w:rPr>
      <w:color w:val="0000FF"/>
      <w:u w:val="single"/>
    </w:rPr>
  </w:style>
  <w:style w:type="character" w:styleId="UyteHipercze">
    <w:name w:val="FollowedHyperlink"/>
    <w:basedOn w:val="Domylnaczcionkaakapitu"/>
    <w:rsid w:val="00F5123A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B96674-0D4E-426A-A0C8-EE1398189D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listownik.dot</Template>
  <TotalTime>23</TotalTime>
  <Pages>1</Pages>
  <Words>210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Poznań, data</vt:lpstr>
    </vt:vector>
  </TitlesOfParts>
  <Company>Creative Force sp. z o. o.</Company>
  <LinksUpToDate>false</LinksUpToDate>
  <CharactersWithSpaces>1429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Poznań, data</dc:title>
  <dc:subject/>
  <dc:creator>Pracownik</dc:creator>
  <cp:keywords/>
  <dc:description/>
  <cp:lastModifiedBy>Jarzębski, Remigiusz</cp:lastModifiedBy>
  <cp:revision>7</cp:revision>
  <cp:lastPrinted>2010-09-20T13:26:00Z</cp:lastPrinted>
  <dcterms:created xsi:type="dcterms:W3CDTF">2011-01-20T10:24:00Z</dcterms:created>
  <dcterms:modified xsi:type="dcterms:W3CDTF">2011-01-24T12:44:00Z</dcterms:modified>
</cp:coreProperties>
</file>