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E7A" w:rsidRPr="00AF2262" w:rsidRDefault="00441E7A" w:rsidP="007D64B1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3F46BD">
        <w:rPr>
          <w:rFonts w:ascii="Tahoma" w:hAnsi="Tahoma"/>
          <w:sz w:val="22"/>
          <w:szCs w:val="22"/>
        </w:rPr>
        <w:t>1</w:t>
      </w:r>
      <w:r w:rsidR="00B37C64">
        <w:rPr>
          <w:rFonts w:ascii="Tahoma" w:hAnsi="Tahoma"/>
          <w:sz w:val="22"/>
          <w:szCs w:val="22"/>
        </w:rPr>
        <w:t>9</w:t>
      </w:r>
      <w:r w:rsidR="003F46BD">
        <w:rPr>
          <w:rFonts w:ascii="Tahoma" w:hAnsi="Tahoma"/>
          <w:sz w:val="22"/>
          <w:szCs w:val="22"/>
        </w:rPr>
        <w:t xml:space="preserve"> czerwca</w:t>
      </w:r>
      <w:r w:rsidR="00243B8C">
        <w:rPr>
          <w:rFonts w:ascii="Tahoma" w:hAnsi="Tahoma"/>
          <w:sz w:val="22"/>
          <w:szCs w:val="22"/>
        </w:rPr>
        <w:t xml:space="preserve"> 2012</w:t>
      </w:r>
      <w:r w:rsidRPr="00AF2262">
        <w:rPr>
          <w:rFonts w:ascii="Tahoma" w:hAnsi="Tahoma"/>
          <w:sz w:val="22"/>
          <w:szCs w:val="22"/>
        </w:rPr>
        <w:t xml:space="preserve"> r.</w:t>
      </w:r>
    </w:p>
    <w:p w:rsidR="00441E7A" w:rsidRPr="00AF2262" w:rsidRDefault="00441E7A" w:rsidP="007D64B1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441E7A" w:rsidRPr="00AF2262" w:rsidTr="00391C4A">
        <w:trPr>
          <w:trHeight w:val="851"/>
        </w:trPr>
        <w:tc>
          <w:tcPr>
            <w:tcW w:w="1108" w:type="dxa"/>
          </w:tcPr>
          <w:p w:rsidR="00441E7A" w:rsidRPr="00AF2262" w:rsidRDefault="00441E7A" w:rsidP="007D64B1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441E7A" w:rsidRPr="00AF2262" w:rsidRDefault="00441E7A" w:rsidP="007D64B1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441E7A" w:rsidRPr="00AF2262" w:rsidRDefault="00441E7A" w:rsidP="007D64B1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441E7A" w:rsidRPr="00AF2262" w:rsidRDefault="00441E7A" w:rsidP="007D64B1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441E7A" w:rsidRPr="00AF2262" w:rsidRDefault="00441E7A" w:rsidP="007D64B1">
            <w:pPr>
              <w:rPr>
                <w:rFonts w:ascii="Tahoma" w:hAnsi="Tahoma" w:cs="Tahoma"/>
                <w:sz w:val="20"/>
              </w:rPr>
            </w:pPr>
          </w:p>
        </w:tc>
      </w:tr>
      <w:tr w:rsidR="000A2E5E" w:rsidRPr="00AF2262" w:rsidTr="00391C4A">
        <w:trPr>
          <w:trHeight w:val="764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</w:tcPr>
          <w:p w:rsidR="000A2E5E" w:rsidRPr="00AF2262" w:rsidRDefault="000A2E5E" w:rsidP="007D64B1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</w:tcPr>
          <w:p w:rsidR="000A2E5E" w:rsidRPr="003F34CE" w:rsidRDefault="002330EA" w:rsidP="007D64B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Znacząca umowa </w:t>
            </w:r>
          </w:p>
        </w:tc>
      </w:tr>
      <w:tr w:rsidR="000A2E5E" w:rsidRPr="00AF2262" w:rsidTr="00391C4A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0A2E5E" w:rsidRPr="00AF2262" w:rsidRDefault="002E2C83" w:rsidP="007D64B1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Raport bieżący nr 9</w:t>
            </w:r>
            <w:r w:rsidR="000A2E5E">
              <w:rPr>
                <w:rFonts w:ascii="Tahoma" w:hAnsi="Tahoma" w:cs="Tahoma"/>
                <w:b/>
                <w:sz w:val="20"/>
              </w:rPr>
              <w:t>/20</w:t>
            </w:r>
            <w:r w:rsidR="00243B8C">
              <w:rPr>
                <w:rFonts w:ascii="Tahoma" w:hAnsi="Tahoma" w:cs="Tahoma"/>
                <w:b/>
                <w:sz w:val="20"/>
              </w:rPr>
              <w:t>12</w:t>
            </w:r>
          </w:p>
        </w:tc>
      </w:tr>
      <w:tr w:rsidR="000A2E5E" w:rsidRPr="0053552F" w:rsidTr="00391C4A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2330EA" w:rsidRDefault="00ED3993" w:rsidP="007D64B1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 w:rsidRPr="00ED3993">
              <w:rPr>
                <w:rFonts w:ascii="Tahoma" w:hAnsi="Tahoma" w:cs="Tahoma"/>
                <w:sz w:val="20"/>
              </w:rPr>
              <w:t xml:space="preserve">Zarząd </w:t>
            </w:r>
            <w:r w:rsidR="0065566A">
              <w:rPr>
                <w:rFonts w:ascii="Tahoma" w:hAnsi="Tahoma" w:cs="Tahoma"/>
                <w:sz w:val="20"/>
              </w:rPr>
              <w:t>DGA S.A.</w:t>
            </w:r>
            <w:r w:rsidR="00804339">
              <w:rPr>
                <w:rFonts w:ascii="Tahoma" w:hAnsi="Tahoma" w:cs="Tahoma"/>
                <w:sz w:val="20"/>
              </w:rPr>
              <w:t xml:space="preserve"> </w:t>
            </w:r>
            <w:r w:rsidR="0058124B">
              <w:rPr>
                <w:rFonts w:ascii="Tahoma" w:hAnsi="Tahoma" w:cs="Tahoma"/>
                <w:sz w:val="20"/>
              </w:rPr>
              <w:t>informuje, że</w:t>
            </w:r>
            <w:r w:rsidR="00243B8C">
              <w:rPr>
                <w:rFonts w:ascii="Tahoma" w:hAnsi="Tahoma" w:cs="Tahoma"/>
                <w:sz w:val="20"/>
              </w:rPr>
              <w:t xml:space="preserve"> w dniu </w:t>
            </w:r>
            <w:r w:rsidR="00B37C64">
              <w:rPr>
                <w:rFonts w:ascii="Tahoma" w:hAnsi="Tahoma" w:cs="Tahoma"/>
                <w:sz w:val="20"/>
              </w:rPr>
              <w:t>19</w:t>
            </w:r>
            <w:r w:rsidR="008C2331">
              <w:rPr>
                <w:rFonts w:ascii="Tahoma" w:hAnsi="Tahoma" w:cs="Tahoma"/>
                <w:sz w:val="20"/>
              </w:rPr>
              <w:t xml:space="preserve"> czerwca</w:t>
            </w:r>
            <w:r w:rsidR="00243B8C">
              <w:rPr>
                <w:rFonts w:ascii="Tahoma" w:hAnsi="Tahoma" w:cs="Tahoma"/>
                <w:sz w:val="20"/>
              </w:rPr>
              <w:t xml:space="preserve"> 2012</w:t>
            </w:r>
            <w:r w:rsidR="0065566A">
              <w:rPr>
                <w:rFonts w:ascii="Tahoma" w:hAnsi="Tahoma" w:cs="Tahoma"/>
                <w:sz w:val="20"/>
              </w:rPr>
              <w:t xml:space="preserve"> roku </w:t>
            </w:r>
            <w:r w:rsidR="002330EA">
              <w:rPr>
                <w:rFonts w:ascii="Tahoma" w:hAnsi="Tahoma" w:cs="Tahoma"/>
                <w:sz w:val="20"/>
              </w:rPr>
              <w:t xml:space="preserve">podpisana została trójstronna umowa </w:t>
            </w:r>
            <w:r w:rsidR="00B07056">
              <w:rPr>
                <w:rFonts w:ascii="Tahoma" w:hAnsi="Tahoma" w:cs="Tahoma"/>
                <w:sz w:val="20"/>
              </w:rPr>
              <w:t>o udzielenie</w:t>
            </w:r>
            <w:r w:rsidR="002330EA" w:rsidRPr="002330EA">
              <w:rPr>
                <w:rFonts w:ascii="Tahoma" w:hAnsi="Tahoma" w:cs="Tahoma"/>
                <w:sz w:val="20"/>
              </w:rPr>
              <w:t xml:space="preserve"> wsparcia finansowego </w:t>
            </w:r>
            <w:r w:rsidR="002330EA">
              <w:rPr>
                <w:rFonts w:ascii="Tahoma" w:hAnsi="Tahoma" w:cs="Tahoma"/>
                <w:sz w:val="20"/>
              </w:rPr>
              <w:t>pomiędzy:</w:t>
            </w:r>
          </w:p>
          <w:p w:rsidR="002330EA" w:rsidRDefault="00804339" w:rsidP="007D64B1">
            <w:pPr>
              <w:numPr>
                <w:ilvl w:val="0"/>
                <w:numId w:val="5"/>
              </w:num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DGA</w:t>
            </w:r>
            <w:r w:rsidR="002330EA">
              <w:rPr>
                <w:rFonts w:ascii="Tahoma" w:hAnsi="Tahoma" w:cs="Tahoma"/>
                <w:sz w:val="20"/>
              </w:rPr>
              <w:t xml:space="preserve"> S.A. </w:t>
            </w:r>
            <w:r w:rsidR="00B07056">
              <w:rPr>
                <w:rFonts w:ascii="Tahoma" w:hAnsi="Tahoma" w:cs="Tahoma"/>
                <w:sz w:val="20"/>
              </w:rPr>
              <w:t>(zwana dalej „DGA” lub „Inwestorem”),</w:t>
            </w:r>
          </w:p>
          <w:p w:rsidR="002330EA" w:rsidRDefault="00243B8C" w:rsidP="007D64B1">
            <w:pPr>
              <w:numPr>
                <w:ilvl w:val="0"/>
                <w:numId w:val="5"/>
              </w:num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Krajowy</w:t>
            </w:r>
            <w:r w:rsidR="002330EA">
              <w:rPr>
                <w:rFonts w:ascii="Tahoma" w:hAnsi="Tahoma" w:cs="Tahoma"/>
                <w:sz w:val="20"/>
              </w:rPr>
              <w:t>m</w:t>
            </w:r>
            <w:r>
              <w:rPr>
                <w:rFonts w:ascii="Tahoma" w:hAnsi="Tahoma" w:cs="Tahoma"/>
                <w:sz w:val="20"/>
              </w:rPr>
              <w:t xml:space="preserve"> Fundusz</w:t>
            </w:r>
            <w:r w:rsidR="002330EA">
              <w:rPr>
                <w:rFonts w:ascii="Tahoma" w:hAnsi="Tahoma" w:cs="Tahoma"/>
                <w:sz w:val="20"/>
              </w:rPr>
              <w:t>em</w:t>
            </w:r>
            <w:r>
              <w:rPr>
                <w:rFonts w:ascii="Tahoma" w:hAnsi="Tahoma" w:cs="Tahoma"/>
                <w:sz w:val="20"/>
              </w:rPr>
              <w:t xml:space="preserve"> Kapitałowy</w:t>
            </w:r>
            <w:r w:rsidR="002330EA">
              <w:rPr>
                <w:rFonts w:ascii="Tahoma" w:hAnsi="Tahoma" w:cs="Tahoma"/>
                <w:sz w:val="20"/>
              </w:rPr>
              <w:t>m</w:t>
            </w:r>
            <w:r>
              <w:rPr>
                <w:rFonts w:ascii="Tahoma" w:hAnsi="Tahoma" w:cs="Tahoma"/>
                <w:sz w:val="20"/>
              </w:rPr>
              <w:t xml:space="preserve"> S.A. (zwanym dalej „KFK”)</w:t>
            </w:r>
          </w:p>
          <w:p w:rsidR="002330EA" w:rsidRDefault="00243B8C" w:rsidP="007D64B1">
            <w:pPr>
              <w:numPr>
                <w:ilvl w:val="0"/>
                <w:numId w:val="5"/>
              </w:num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Life Fund Sp. z o.o. (zwana dalej</w:t>
            </w:r>
            <w:r w:rsidR="008C2331">
              <w:rPr>
                <w:rFonts w:ascii="Tahoma" w:hAnsi="Tahoma" w:cs="Tahoma"/>
                <w:sz w:val="20"/>
              </w:rPr>
              <w:t xml:space="preserve"> „Life Fund”,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="00B07056">
              <w:rPr>
                <w:rFonts w:ascii="Tahoma" w:hAnsi="Tahoma" w:cs="Tahoma"/>
                <w:sz w:val="20"/>
              </w:rPr>
              <w:t>„Podmiotem Zarządzającym” lub „Komplementariuszem”</w:t>
            </w:r>
            <w:r>
              <w:rPr>
                <w:rFonts w:ascii="Tahoma" w:hAnsi="Tahoma" w:cs="Tahoma"/>
                <w:sz w:val="20"/>
              </w:rPr>
              <w:t>)</w:t>
            </w:r>
            <w:r w:rsidR="002330EA">
              <w:rPr>
                <w:rFonts w:ascii="Tahoma" w:hAnsi="Tahoma" w:cs="Tahoma"/>
                <w:sz w:val="20"/>
              </w:rPr>
              <w:t>.</w:t>
            </w:r>
            <w:r>
              <w:rPr>
                <w:rFonts w:ascii="Tahoma" w:hAnsi="Tahoma" w:cs="Tahoma"/>
                <w:sz w:val="20"/>
              </w:rPr>
              <w:t xml:space="preserve"> </w:t>
            </w:r>
          </w:p>
          <w:p w:rsidR="002330EA" w:rsidRDefault="002330EA" w:rsidP="007D64B1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EF7D57" w:rsidRDefault="002330EA" w:rsidP="007D64B1">
            <w:p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Zgodnie z umową strony zamierzają powołać Fundusz Kapitałowy Life Fund Sp</w:t>
            </w:r>
            <w:r w:rsidR="00121F4B">
              <w:rPr>
                <w:rFonts w:ascii="Tahoma" w:hAnsi="Tahoma" w:cs="Tahoma"/>
                <w:sz w:val="20"/>
              </w:rPr>
              <w:t>ółka</w:t>
            </w:r>
            <w:r>
              <w:rPr>
                <w:rFonts w:ascii="Tahoma" w:hAnsi="Tahoma" w:cs="Tahoma"/>
                <w:sz w:val="20"/>
              </w:rPr>
              <w:t xml:space="preserve"> z o</w:t>
            </w:r>
            <w:r w:rsidR="00121F4B">
              <w:rPr>
                <w:rFonts w:ascii="Tahoma" w:hAnsi="Tahoma" w:cs="Tahoma"/>
                <w:sz w:val="20"/>
              </w:rPr>
              <w:t xml:space="preserve">graniczoną </w:t>
            </w:r>
            <w:r>
              <w:rPr>
                <w:rFonts w:ascii="Tahoma" w:hAnsi="Tahoma" w:cs="Tahoma"/>
                <w:sz w:val="20"/>
              </w:rPr>
              <w:t>o</w:t>
            </w:r>
            <w:r w:rsidR="00121F4B">
              <w:rPr>
                <w:rFonts w:ascii="Tahoma" w:hAnsi="Tahoma" w:cs="Tahoma"/>
                <w:sz w:val="20"/>
              </w:rPr>
              <w:t>dpowiedzialnością Spółka K</w:t>
            </w:r>
            <w:r>
              <w:rPr>
                <w:rFonts w:ascii="Tahoma" w:hAnsi="Tahoma" w:cs="Tahoma"/>
                <w:sz w:val="20"/>
              </w:rPr>
              <w:t>omandytowo-</w:t>
            </w:r>
            <w:r w:rsidR="00121F4B">
              <w:rPr>
                <w:rFonts w:ascii="Tahoma" w:hAnsi="Tahoma" w:cs="Tahoma"/>
                <w:sz w:val="20"/>
              </w:rPr>
              <w:t>A</w:t>
            </w:r>
            <w:r>
              <w:rPr>
                <w:rFonts w:ascii="Tahoma" w:hAnsi="Tahoma" w:cs="Tahoma"/>
                <w:sz w:val="20"/>
              </w:rPr>
              <w:t>kcyjna (</w:t>
            </w:r>
            <w:r w:rsidR="00B07056">
              <w:rPr>
                <w:rFonts w:ascii="Tahoma" w:hAnsi="Tahoma" w:cs="Tahoma"/>
                <w:sz w:val="20"/>
              </w:rPr>
              <w:t>zwany dalej „</w:t>
            </w:r>
            <w:r w:rsidR="00D379FA">
              <w:rPr>
                <w:rFonts w:ascii="Tahoma" w:hAnsi="Tahoma" w:cs="Tahoma"/>
                <w:sz w:val="20"/>
              </w:rPr>
              <w:t>Funduszem Kapitałowym”</w:t>
            </w:r>
            <w:r w:rsidR="00B07056">
              <w:rPr>
                <w:rFonts w:ascii="Tahoma" w:hAnsi="Tahoma" w:cs="Tahoma"/>
                <w:sz w:val="20"/>
              </w:rPr>
              <w:t xml:space="preserve">), </w:t>
            </w:r>
            <w:r w:rsidR="00B07056" w:rsidRPr="00B07056">
              <w:rPr>
                <w:rFonts w:ascii="Tahoma" w:hAnsi="Tahoma" w:cs="Tahoma"/>
                <w:sz w:val="20"/>
              </w:rPr>
              <w:t>którego wyłącznym przedmiotem d</w:t>
            </w:r>
            <w:r w:rsidR="00EF7D57">
              <w:rPr>
                <w:rFonts w:ascii="Tahoma" w:hAnsi="Tahoma" w:cs="Tahoma"/>
                <w:sz w:val="20"/>
              </w:rPr>
              <w:t>ziałalności będzie dokonywanie i</w:t>
            </w:r>
            <w:r w:rsidR="00B07056" w:rsidRPr="00B07056">
              <w:rPr>
                <w:rFonts w:ascii="Tahoma" w:hAnsi="Tahoma" w:cs="Tahoma"/>
                <w:sz w:val="20"/>
              </w:rPr>
              <w:t>nwestycji</w:t>
            </w:r>
            <w:r w:rsidR="00EF7D57">
              <w:rPr>
                <w:rFonts w:ascii="Tahoma" w:hAnsi="Tahoma" w:cs="Tahoma"/>
                <w:sz w:val="20"/>
              </w:rPr>
              <w:t xml:space="preserve"> w szczególności w innowacyjne firmy z branży life science obejmującej takie dziedziny jak biotechnologia, nanotechnologia, leki generyczne i inne wyroby farmaceutyczne, diagnostyka i produkty medyczne, a także w projekty o wysokim potencjale wzrostu wartości.  </w:t>
            </w:r>
          </w:p>
          <w:p w:rsidR="00C51D16" w:rsidRDefault="00C51D16" w:rsidP="007D64B1">
            <w:p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</w:p>
          <w:p w:rsidR="00B609BF" w:rsidRPr="00647CD9" w:rsidRDefault="00B609BF" w:rsidP="00B609BF">
            <w:pPr>
              <w:numPr>
                <w:ilvl w:val="0"/>
                <w:numId w:val="6"/>
              </w:num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b/>
                <w:sz w:val="20"/>
              </w:rPr>
            </w:pPr>
            <w:r w:rsidRPr="00647CD9">
              <w:rPr>
                <w:rFonts w:ascii="Tahoma" w:hAnsi="Tahoma" w:cs="Tahoma"/>
                <w:b/>
                <w:sz w:val="20"/>
              </w:rPr>
              <w:t>Warunki zawieszające</w:t>
            </w:r>
          </w:p>
          <w:p w:rsidR="00B609BF" w:rsidRPr="00CB5B9E" w:rsidRDefault="00B609BF" w:rsidP="00B609BF">
            <w:p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 w:rsidRPr="00CB5B9E">
              <w:rPr>
                <w:rFonts w:ascii="Tahoma" w:hAnsi="Tahoma" w:cs="Tahoma"/>
                <w:sz w:val="20"/>
              </w:rPr>
              <w:t xml:space="preserve">Umowa wchodzi w życie pod warunkami zawieszającymi: </w:t>
            </w:r>
          </w:p>
          <w:p w:rsidR="00B609BF" w:rsidRDefault="00B609BF" w:rsidP="00B609BF">
            <w:pPr>
              <w:numPr>
                <w:ilvl w:val="0"/>
                <w:numId w:val="15"/>
              </w:num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 w:rsidRPr="00CB5B9E">
              <w:rPr>
                <w:rFonts w:ascii="Tahoma" w:hAnsi="Tahoma" w:cs="Tahoma"/>
                <w:sz w:val="20"/>
              </w:rPr>
              <w:t>uzgodnienia i zaakceptowania przez wszystkie Strony Umowy treści Statutu Funduszu Kapitałowego oraz treści umowy o zarządzanie w nieprzekraczalnym terminie 60 dni od daty zawarcia Umowy;</w:t>
            </w:r>
          </w:p>
          <w:p w:rsidR="00B609BF" w:rsidRDefault="00B609BF" w:rsidP="00B609BF">
            <w:pPr>
              <w:numPr>
                <w:ilvl w:val="0"/>
                <w:numId w:val="15"/>
              </w:num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 w:rsidRPr="00CB5B9E">
              <w:rPr>
                <w:rFonts w:ascii="Tahoma" w:hAnsi="Tahoma" w:cs="Tahoma"/>
                <w:sz w:val="20"/>
              </w:rPr>
              <w:t xml:space="preserve">uzgodnienia i zaakceptowania przez wszystkie Strony Umowy treści </w:t>
            </w:r>
            <w:r w:rsidR="00B331F3">
              <w:rPr>
                <w:rFonts w:ascii="Tahoma" w:hAnsi="Tahoma" w:cs="Tahoma"/>
                <w:sz w:val="20"/>
              </w:rPr>
              <w:t>wszystkich</w:t>
            </w:r>
            <w:r>
              <w:rPr>
                <w:rFonts w:ascii="Tahoma" w:hAnsi="Tahoma" w:cs="Tahoma"/>
                <w:sz w:val="20"/>
              </w:rPr>
              <w:t xml:space="preserve"> załączników</w:t>
            </w:r>
            <w:r w:rsidR="00633A33">
              <w:rPr>
                <w:rFonts w:ascii="Tahoma" w:hAnsi="Tahoma" w:cs="Tahoma"/>
                <w:sz w:val="20"/>
              </w:rPr>
              <w:t xml:space="preserve"> do umowy</w:t>
            </w:r>
            <w:r w:rsidRPr="00CB5B9E">
              <w:rPr>
                <w:rFonts w:ascii="Tahoma" w:hAnsi="Tahoma" w:cs="Tahoma"/>
                <w:sz w:val="20"/>
              </w:rPr>
              <w:t xml:space="preserve"> </w:t>
            </w:r>
            <w:r w:rsidR="00AD1641">
              <w:rPr>
                <w:rFonts w:ascii="Tahoma" w:hAnsi="Tahoma" w:cs="Tahoma"/>
                <w:sz w:val="20"/>
              </w:rPr>
              <w:t>(przede wszystkim regulaminów, wzorów oświadczeń i pełnomocnictw, budżetu operacyjnego</w:t>
            </w:r>
            <w:r w:rsidR="00633A33">
              <w:rPr>
                <w:rFonts w:ascii="Tahoma" w:hAnsi="Tahoma" w:cs="Tahoma"/>
                <w:sz w:val="20"/>
              </w:rPr>
              <w:t>, zasad rozliczeń i wynagradzania, projektów umów z członkami kluczowego personelu)</w:t>
            </w:r>
            <w:r w:rsidR="00B331F3">
              <w:rPr>
                <w:rFonts w:ascii="Tahoma" w:hAnsi="Tahoma" w:cs="Tahoma"/>
                <w:sz w:val="20"/>
              </w:rPr>
              <w:t xml:space="preserve"> </w:t>
            </w:r>
            <w:r w:rsidRPr="00CB5B9E">
              <w:rPr>
                <w:rFonts w:ascii="Tahoma" w:hAnsi="Tahoma" w:cs="Tahoma"/>
                <w:sz w:val="20"/>
              </w:rPr>
              <w:t>w nieprzekraczalnym terminie 60 dni od daty zawarcia niniejszej Umowy;</w:t>
            </w:r>
          </w:p>
          <w:p w:rsidR="00B609BF" w:rsidRPr="00CB5B9E" w:rsidRDefault="00B609BF" w:rsidP="00B609BF">
            <w:pPr>
              <w:numPr>
                <w:ilvl w:val="0"/>
                <w:numId w:val="15"/>
              </w:num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 w:rsidRPr="00CB5B9E">
              <w:rPr>
                <w:rFonts w:ascii="Tahoma" w:hAnsi="Tahoma" w:cs="Tahoma"/>
                <w:sz w:val="20"/>
              </w:rPr>
              <w:t xml:space="preserve">uzyskania zgody Prezesa Urzędu Ochrony Konkurencji i Konsumentów na koncentrację przedsiębiorców w rozumieniu art. 13 do 17 ustawy z dnia 16 lutego 2007 r. o ochronie konkurencji i konsumentów (Dz. U. z 2007 r. Nr 50, poz. 331 z </w:t>
            </w:r>
            <w:proofErr w:type="spellStart"/>
            <w:r w:rsidRPr="00CB5B9E">
              <w:rPr>
                <w:rFonts w:ascii="Tahoma" w:hAnsi="Tahoma" w:cs="Tahoma"/>
                <w:sz w:val="20"/>
              </w:rPr>
              <w:t>późn</w:t>
            </w:r>
            <w:proofErr w:type="spellEnd"/>
            <w:r w:rsidRPr="00CB5B9E">
              <w:rPr>
                <w:rFonts w:ascii="Tahoma" w:hAnsi="Tahoma" w:cs="Tahoma"/>
                <w:sz w:val="20"/>
              </w:rPr>
              <w:t xml:space="preserve">. zm.) lub wydania decyzji Prezesa </w:t>
            </w:r>
            <w:proofErr w:type="spellStart"/>
            <w:r w:rsidRPr="00CB5B9E">
              <w:rPr>
                <w:rFonts w:ascii="Tahoma" w:hAnsi="Tahoma" w:cs="Tahoma"/>
                <w:sz w:val="20"/>
              </w:rPr>
              <w:t>UOKiK</w:t>
            </w:r>
            <w:proofErr w:type="spellEnd"/>
            <w:r w:rsidRPr="00CB5B9E">
              <w:rPr>
                <w:rFonts w:ascii="Tahoma" w:hAnsi="Tahoma" w:cs="Tahoma"/>
                <w:sz w:val="20"/>
              </w:rPr>
              <w:t xml:space="preserve"> o umorzeniu postępowania ze względu na okoliczność, iż transakcja nie podlega obowiązkowi zgłoszenia do Prezesa </w:t>
            </w:r>
            <w:proofErr w:type="spellStart"/>
            <w:r w:rsidRPr="00CB5B9E">
              <w:rPr>
                <w:rFonts w:ascii="Tahoma" w:hAnsi="Tahoma" w:cs="Tahoma"/>
                <w:sz w:val="20"/>
              </w:rPr>
              <w:t>UOKiK</w:t>
            </w:r>
            <w:proofErr w:type="spellEnd"/>
            <w:r w:rsidRPr="00CB5B9E">
              <w:rPr>
                <w:rFonts w:ascii="Tahoma" w:hAnsi="Tahoma" w:cs="Tahoma"/>
                <w:sz w:val="20"/>
              </w:rPr>
              <w:t xml:space="preserve"> albo upływu terminu ustawowego na wydanie powyższej zgody, jeżeli przed upływem tego terminu Prezes </w:t>
            </w:r>
            <w:proofErr w:type="spellStart"/>
            <w:r w:rsidRPr="00CB5B9E">
              <w:rPr>
                <w:rFonts w:ascii="Tahoma" w:hAnsi="Tahoma" w:cs="Tahoma"/>
                <w:sz w:val="20"/>
              </w:rPr>
              <w:t>UOKiK</w:t>
            </w:r>
            <w:proofErr w:type="spellEnd"/>
            <w:r w:rsidRPr="00CB5B9E">
              <w:rPr>
                <w:rFonts w:ascii="Tahoma" w:hAnsi="Tahoma" w:cs="Tahoma"/>
                <w:sz w:val="20"/>
              </w:rPr>
              <w:t xml:space="preserve"> nie wyda żadnej decyzji, w zależności które z tych zdarzeń nastąpi wcześniej.</w:t>
            </w:r>
          </w:p>
          <w:p w:rsidR="00B609BF" w:rsidRDefault="00B609BF" w:rsidP="00B609BF">
            <w:p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</w:p>
          <w:p w:rsidR="00B609BF" w:rsidRDefault="00B609BF" w:rsidP="00B609BF">
            <w:p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 w:rsidRPr="00D325EC">
              <w:rPr>
                <w:rFonts w:ascii="Tahoma" w:hAnsi="Tahoma" w:cs="Tahoma"/>
                <w:sz w:val="20"/>
              </w:rPr>
              <w:lastRenderedPageBreak/>
              <w:t xml:space="preserve">W przypadku, gdy z jakichkolwiek powodów w ciągu 6 miesięcy od dnia zawarcia Umowy, nie dojdzie do rejestracji Funduszu Kapitałowego, każda ze Stron będzie miała prawo odstąpienia od Umowy w trybie natychmiastowym, z zastrzeżeniem, że prawo do odstąpienia wygasa w przypadku, gdy Fundusz zostanie zarejestrowany.  </w:t>
            </w:r>
          </w:p>
          <w:p w:rsidR="007D64B1" w:rsidRDefault="003D7FFD" w:rsidP="007D64B1">
            <w:p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Przewidywany termin uruchomienia Funduszu Kapitałowego to 1 września 2012 r.</w:t>
            </w:r>
          </w:p>
          <w:p w:rsidR="003D7FFD" w:rsidRDefault="003D7FFD" w:rsidP="007D64B1">
            <w:p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</w:p>
          <w:p w:rsidR="00EF7D57" w:rsidRPr="00647CD9" w:rsidRDefault="00C32242" w:rsidP="007D64B1">
            <w:pPr>
              <w:numPr>
                <w:ilvl w:val="0"/>
                <w:numId w:val="6"/>
              </w:num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b/>
                <w:sz w:val="20"/>
              </w:rPr>
            </w:pPr>
            <w:r w:rsidRPr="00647CD9">
              <w:rPr>
                <w:rFonts w:ascii="Tahoma" w:hAnsi="Tahoma" w:cs="Tahoma"/>
                <w:b/>
                <w:sz w:val="20"/>
              </w:rPr>
              <w:t>Przedmiot</w:t>
            </w:r>
            <w:r w:rsidR="00EF7D57" w:rsidRPr="00647CD9">
              <w:rPr>
                <w:rFonts w:ascii="Tahoma" w:hAnsi="Tahoma" w:cs="Tahoma"/>
                <w:b/>
                <w:sz w:val="20"/>
              </w:rPr>
              <w:t xml:space="preserve"> Umowy </w:t>
            </w:r>
            <w:r w:rsidRPr="00647CD9">
              <w:rPr>
                <w:rFonts w:ascii="Tahoma" w:hAnsi="Tahoma" w:cs="Tahoma"/>
                <w:b/>
                <w:sz w:val="20"/>
              </w:rPr>
              <w:t>określa</w:t>
            </w:r>
            <w:r w:rsidR="00EF7D57" w:rsidRPr="00647CD9">
              <w:rPr>
                <w:rFonts w:ascii="Tahoma" w:hAnsi="Tahoma" w:cs="Tahoma"/>
                <w:b/>
                <w:sz w:val="20"/>
              </w:rPr>
              <w:t>:</w:t>
            </w:r>
          </w:p>
          <w:p w:rsidR="00EF7D57" w:rsidRPr="00EF7D57" w:rsidRDefault="00633A33" w:rsidP="00633A33">
            <w:pPr>
              <w:shd w:val="clear" w:color="auto" w:fill="FFFFFF"/>
              <w:spacing w:before="240" w:after="200"/>
              <w:ind w:left="284" w:hanging="284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1. </w:t>
            </w:r>
            <w:r w:rsidR="00C32242">
              <w:rPr>
                <w:rFonts w:ascii="Tahoma" w:hAnsi="Tahoma" w:cs="Tahoma"/>
                <w:sz w:val="20"/>
              </w:rPr>
              <w:t>Warunki</w:t>
            </w:r>
            <w:r w:rsidR="00EF7D57" w:rsidRPr="00EF7D57">
              <w:rPr>
                <w:rFonts w:ascii="Tahoma" w:hAnsi="Tahoma" w:cs="Tahoma"/>
                <w:sz w:val="20"/>
              </w:rPr>
              <w:t xml:space="preserve"> udzielenia przez KFK wsparcia finansowego Funduszowi Kapitałowemu polegającego na objęciu lub na</w:t>
            </w:r>
            <w:r w:rsidR="00C32242">
              <w:rPr>
                <w:rFonts w:ascii="Tahoma" w:hAnsi="Tahoma" w:cs="Tahoma"/>
                <w:sz w:val="20"/>
              </w:rPr>
              <w:t xml:space="preserve">byciu Instrumentów Finansowych </w:t>
            </w:r>
            <w:r w:rsidR="00EF7D57" w:rsidRPr="00EF7D57">
              <w:rPr>
                <w:rFonts w:ascii="Tahoma" w:hAnsi="Tahoma" w:cs="Tahoma"/>
                <w:sz w:val="20"/>
              </w:rPr>
              <w:t>w Funduszu Kapitałowym;</w:t>
            </w:r>
          </w:p>
          <w:p w:rsidR="00EF7D57" w:rsidRPr="00EF7D57" w:rsidRDefault="00633A33" w:rsidP="00633A33">
            <w:pPr>
              <w:shd w:val="clear" w:color="auto" w:fill="FFFFFF"/>
              <w:spacing w:before="240" w:after="200"/>
              <w:ind w:left="284" w:hanging="284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2. </w:t>
            </w:r>
            <w:r w:rsidR="00C32242">
              <w:rPr>
                <w:rFonts w:ascii="Tahoma" w:hAnsi="Tahoma" w:cs="Tahoma"/>
                <w:sz w:val="20"/>
              </w:rPr>
              <w:t>Warunki</w:t>
            </w:r>
            <w:r w:rsidR="00EF7D57" w:rsidRPr="00EF7D57">
              <w:rPr>
                <w:rFonts w:ascii="Tahoma" w:hAnsi="Tahoma" w:cs="Tahoma"/>
                <w:sz w:val="20"/>
              </w:rPr>
              <w:t xml:space="preserve"> przekazania wsparcia finansowego w formie Bezzwrotnych Świadczeń na sfinansowanie części kosztów poniesionych przez Fundusz Kapitałowy na przygotowanie Inwestycji i monitorowanie portfela Inwestycji zgodnie z Planem Operacyjnym; </w:t>
            </w:r>
          </w:p>
          <w:p w:rsidR="00EF7D57" w:rsidRPr="00EF7D57" w:rsidRDefault="00633A33" w:rsidP="00633A33">
            <w:pPr>
              <w:shd w:val="clear" w:color="auto" w:fill="FFFFFF"/>
              <w:spacing w:before="240" w:after="200"/>
              <w:ind w:left="284" w:hanging="284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3. </w:t>
            </w:r>
            <w:r w:rsidR="00C32242">
              <w:rPr>
                <w:rFonts w:ascii="Tahoma" w:hAnsi="Tahoma" w:cs="Tahoma"/>
                <w:sz w:val="20"/>
              </w:rPr>
              <w:t>Sposób</w:t>
            </w:r>
            <w:r w:rsidR="00EF7D57" w:rsidRPr="00EF7D57">
              <w:rPr>
                <w:rFonts w:ascii="Tahoma" w:hAnsi="Tahoma" w:cs="Tahoma"/>
                <w:sz w:val="20"/>
              </w:rPr>
              <w:t xml:space="preserve"> funkcjonowania Funduszu Kapitałowego oraz współdziałania Inwestora oraz KFK, w tym w szczególności współdziałania co do zakończenia działalności Funduszu Kapitałowego;</w:t>
            </w:r>
          </w:p>
          <w:p w:rsidR="00EF7D57" w:rsidRPr="00EF7D57" w:rsidRDefault="00633A33" w:rsidP="00633A33">
            <w:pPr>
              <w:shd w:val="clear" w:color="auto" w:fill="FFFFFF"/>
              <w:spacing w:before="240" w:after="200"/>
              <w:ind w:left="284" w:hanging="284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4. </w:t>
            </w:r>
            <w:r w:rsidR="00C32242">
              <w:rPr>
                <w:rFonts w:ascii="Tahoma" w:hAnsi="Tahoma" w:cs="Tahoma"/>
                <w:sz w:val="20"/>
              </w:rPr>
              <w:t>Warunki</w:t>
            </w:r>
            <w:r w:rsidR="00EF7D57" w:rsidRPr="00EF7D57">
              <w:rPr>
                <w:rFonts w:ascii="Tahoma" w:hAnsi="Tahoma" w:cs="Tahoma"/>
                <w:sz w:val="20"/>
              </w:rPr>
              <w:t xml:space="preserve"> i zasad</w:t>
            </w:r>
            <w:r w:rsidR="00C32242">
              <w:rPr>
                <w:rFonts w:ascii="Tahoma" w:hAnsi="Tahoma" w:cs="Tahoma"/>
                <w:sz w:val="20"/>
              </w:rPr>
              <w:t>y</w:t>
            </w:r>
            <w:r w:rsidR="00EF7D57" w:rsidRPr="00EF7D57">
              <w:rPr>
                <w:rFonts w:ascii="Tahoma" w:hAnsi="Tahoma" w:cs="Tahoma"/>
                <w:sz w:val="20"/>
              </w:rPr>
              <w:t xml:space="preserve"> inwestycji Funduszu Kapitałowego w Przedsiębiorców mających siedzibę na terytorium Rzeczypospolitej Polskiej (strategia inwestycyjna i planowanie inwestycyjne);</w:t>
            </w:r>
          </w:p>
          <w:p w:rsidR="00EF7D57" w:rsidRDefault="00633A33" w:rsidP="00633A33">
            <w:pPr>
              <w:shd w:val="clear" w:color="auto" w:fill="FFFFFF"/>
              <w:spacing w:before="240" w:after="200"/>
              <w:ind w:left="284" w:hanging="284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5. </w:t>
            </w:r>
            <w:r w:rsidR="00C32242">
              <w:rPr>
                <w:rFonts w:ascii="Tahoma" w:hAnsi="Tahoma" w:cs="Tahoma"/>
                <w:sz w:val="20"/>
              </w:rPr>
              <w:t>Z</w:t>
            </w:r>
            <w:r w:rsidR="00EF7D57" w:rsidRPr="00EF7D57">
              <w:rPr>
                <w:rFonts w:ascii="Tahoma" w:hAnsi="Tahoma" w:cs="Tahoma"/>
                <w:sz w:val="20"/>
              </w:rPr>
              <w:t>asad</w:t>
            </w:r>
            <w:r w:rsidR="00C32242">
              <w:rPr>
                <w:rFonts w:ascii="Tahoma" w:hAnsi="Tahoma" w:cs="Tahoma"/>
                <w:sz w:val="20"/>
              </w:rPr>
              <w:t>y</w:t>
            </w:r>
            <w:r w:rsidR="00EF7D57" w:rsidRPr="00EF7D57">
              <w:rPr>
                <w:rFonts w:ascii="Tahoma" w:hAnsi="Tahoma" w:cs="Tahoma"/>
                <w:sz w:val="20"/>
              </w:rPr>
              <w:t xml:space="preserve"> monitorowania działalności Funduszu Kapitałowego.</w:t>
            </w:r>
          </w:p>
          <w:p w:rsidR="00417498" w:rsidRDefault="00633A33" w:rsidP="007D64B1">
            <w:p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6. Warunki wejścia </w:t>
            </w:r>
            <w:r w:rsidR="003D7FFD">
              <w:rPr>
                <w:rFonts w:ascii="Tahoma" w:hAnsi="Tahoma" w:cs="Tahoma"/>
                <w:sz w:val="20"/>
              </w:rPr>
              <w:t xml:space="preserve">umowy </w:t>
            </w:r>
            <w:r>
              <w:rPr>
                <w:rFonts w:ascii="Tahoma" w:hAnsi="Tahoma" w:cs="Tahoma"/>
                <w:sz w:val="20"/>
              </w:rPr>
              <w:t>w życie.</w:t>
            </w:r>
          </w:p>
          <w:p w:rsidR="00C51D16" w:rsidRDefault="00C51D16" w:rsidP="007D64B1">
            <w:p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</w:p>
          <w:p w:rsidR="00C51D16" w:rsidRDefault="00C51D16" w:rsidP="00C51D16">
            <w:pPr>
              <w:shd w:val="clear" w:color="auto" w:fill="FFFFFF"/>
              <w:spacing w:after="24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Fundusz Kapitałowy inwestować będzie w następujące obszary inwestycyjne:</w:t>
            </w:r>
          </w:p>
          <w:p w:rsidR="00C51D16" w:rsidRDefault="00C51D16" w:rsidP="00C51D16">
            <w:pPr>
              <w:numPr>
                <w:ilvl w:val="0"/>
                <w:numId w:val="21"/>
              </w:numPr>
              <w:shd w:val="clear" w:color="auto" w:fill="FFFFFF"/>
              <w:jc w:val="both"/>
              <w:rPr>
                <w:rFonts w:ascii="Tahoma" w:hAnsi="Tahoma" w:cs="Tahoma"/>
                <w:sz w:val="20"/>
              </w:rPr>
            </w:pPr>
            <w:r w:rsidRPr="00C51D16">
              <w:rPr>
                <w:rFonts w:ascii="Tahoma" w:hAnsi="Tahoma" w:cs="Tahoma"/>
                <w:sz w:val="20"/>
              </w:rPr>
              <w:t>leki generyczne i innowacyjne suplementy diety, kosmetyki i farmaceutyki, nanotechnologia i inne;</w:t>
            </w:r>
          </w:p>
          <w:p w:rsidR="00C51D16" w:rsidRPr="00C51D16" w:rsidRDefault="00C51D16" w:rsidP="00C51D16">
            <w:pPr>
              <w:numPr>
                <w:ilvl w:val="0"/>
                <w:numId w:val="21"/>
              </w:numPr>
              <w:shd w:val="clear" w:color="auto" w:fill="FFFFFF"/>
              <w:jc w:val="both"/>
              <w:rPr>
                <w:rFonts w:ascii="Tahoma" w:hAnsi="Tahoma" w:cs="Tahoma"/>
                <w:sz w:val="20"/>
              </w:rPr>
            </w:pPr>
            <w:r w:rsidRPr="00C51D16">
              <w:rPr>
                <w:rFonts w:ascii="Tahoma" w:hAnsi="Tahoma" w:cs="Tahoma"/>
                <w:sz w:val="20"/>
              </w:rPr>
              <w:t>diagnostyka medyczna i wyroby medyczne i inne;</w:t>
            </w:r>
          </w:p>
          <w:p w:rsidR="00C51D16" w:rsidRDefault="00C51D16" w:rsidP="00C51D16">
            <w:pPr>
              <w:numPr>
                <w:ilvl w:val="0"/>
                <w:numId w:val="21"/>
              </w:numPr>
              <w:shd w:val="clear" w:color="auto" w:fill="FFFFFF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produkty i przedsiębiorstwa (spółki) z dużym potencjałem wzrostu.</w:t>
            </w:r>
          </w:p>
          <w:p w:rsidR="002E2C83" w:rsidRDefault="002E2C83" w:rsidP="002E2C83">
            <w:pPr>
              <w:shd w:val="clear" w:color="auto" w:fill="FFFFFF"/>
              <w:ind w:left="720"/>
              <w:jc w:val="both"/>
              <w:rPr>
                <w:rFonts w:ascii="Tahoma" w:hAnsi="Tahoma" w:cs="Tahoma"/>
                <w:sz w:val="20"/>
              </w:rPr>
            </w:pPr>
          </w:p>
          <w:p w:rsidR="002E2C83" w:rsidRDefault="002E2C83" w:rsidP="002E2C83">
            <w:pPr>
              <w:shd w:val="clear" w:color="auto" w:fill="FFFFFF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 pierwszy obszar odpowiadać będzie Dyrektor Inwestycyjny wyznaczony przez Jagiellońskie Centrum Innowacji Sp. z o.o., natomiast za dwa pozostałe obszary Dyrektor Inwestycyjny wskazany przez DGA S.A.</w:t>
            </w:r>
          </w:p>
          <w:p w:rsidR="005E629D" w:rsidRDefault="005E629D" w:rsidP="002E2C83">
            <w:pPr>
              <w:shd w:val="clear" w:color="auto" w:fill="FFFFFF"/>
              <w:jc w:val="both"/>
              <w:rPr>
                <w:rFonts w:ascii="Tahoma" w:hAnsi="Tahoma" w:cs="Tahoma"/>
                <w:sz w:val="20"/>
              </w:rPr>
            </w:pPr>
          </w:p>
          <w:p w:rsidR="005E629D" w:rsidRDefault="005E629D" w:rsidP="005E629D">
            <w:pPr>
              <w:shd w:val="clear" w:color="auto" w:fill="FFFFFF"/>
              <w:jc w:val="both"/>
              <w:rPr>
                <w:rFonts w:ascii="Tahoma" w:hAnsi="Tahoma" w:cs="Tahoma"/>
                <w:sz w:val="20"/>
              </w:rPr>
            </w:pPr>
            <w:r w:rsidRPr="005E629D">
              <w:rPr>
                <w:rFonts w:ascii="Tahoma" w:hAnsi="Tahoma" w:cs="Tahoma"/>
                <w:sz w:val="20"/>
              </w:rPr>
              <w:t>Łączna wartość środków Funduszu Kapitałowego zaangażowanych w tego samego Przedsiębiorcę oraz w jednostki z nim powiązane nie może przekroczyć równowartości w złotych kwoty 1.500.000,00</w:t>
            </w:r>
            <w:r>
              <w:rPr>
                <w:rFonts w:ascii="Tahoma" w:hAnsi="Tahoma" w:cs="Tahoma"/>
                <w:sz w:val="20"/>
              </w:rPr>
              <w:t xml:space="preserve"> EURO.</w:t>
            </w:r>
          </w:p>
          <w:p w:rsidR="00C51D16" w:rsidRDefault="00C51D16" w:rsidP="007D64B1">
            <w:p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</w:p>
          <w:p w:rsidR="00D222F7" w:rsidRDefault="00D222F7" w:rsidP="00D222F7">
            <w:pPr>
              <w:numPr>
                <w:ilvl w:val="0"/>
                <w:numId w:val="6"/>
              </w:num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 w:rsidRPr="00647CD9">
              <w:rPr>
                <w:rFonts w:ascii="Tahoma" w:hAnsi="Tahoma" w:cs="Tahoma"/>
                <w:b/>
                <w:sz w:val="20"/>
              </w:rPr>
              <w:t>Horyzont inwestycyjny</w:t>
            </w:r>
            <w:r>
              <w:rPr>
                <w:rFonts w:ascii="Tahoma" w:hAnsi="Tahoma" w:cs="Tahoma"/>
                <w:sz w:val="20"/>
              </w:rPr>
              <w:t xml:space="preserve">, czyli okres funkcjonowania Funduszu Kapitałowego do czasu jego likwidacji </w:t>
            </w:r>
            <w:r w:rsidRPr="00D222F7">
              <w:rPr>
                <w:rFonts w:ascii="Tahoma" w:hAnsi="Tahoma" w:cs="Tahoma"/>
                <w:sz w:val="20"/>
              </w:rPr>
              <w:t>jest nie dłuższy niż 10 lat z możliwością wydłużenia maksymalnie o 2 l</w:t>
            </w:r>
            <w:r>
              <w:rPr>
                <w:rFonts w:ascii="Tahoma" w:hAnsi="Tahoma" w:cs="Tahoma"/>
                <w:sz w:val="20"/>
              </w:rPr>
              <w:t>ata w uzasadnionych przypadkach, natomiast okres inwestycyjny, czyli czas dokonywania inwestycji w przedsiębiorców kończy się z dniem 31 grudnia 2015 r.</w:t>
            </w:r>
          </w:p>
          <w:p w:rsidR="00300D88" w:rsidRDefault="00300D88" w:rsidP="00300D88">
            <w:pPr>
              <w:shd w:val="clear" w:color="auto" w:fill="FFFFFF"/>
              <w:spacing w:before="240" w:after="200"/>
              <w:ind w:left="720"/>
              <w:jc w:val="both"/>
              <w:rPr>
                <w:rFonts w:ascii="Tahoma" w:hAnsi="Tahoma" w:cs="Tahoma"/>
                <w:sz w:val="20"/>
              </w:rPr>
            </w:pPr>
          </w:p>
          <w:p w:rsidR="00417498" w:rsidRPr="00647CD9" w:rsidRDefault="00417498" w:rsidP="007D64B1">
            <w:pPr>
              <w:numPr>
                <w:ilvl w:val="0"/>
                <w:numId w:val="6"/>
              </w:num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</w:t>
            </w:r>
            <w:r w:rsidRPr="00647CD9">
              <w:rPr>
                <w:rFonts w:ascii="Tahoma" w:hAnsi="Tahoma" w:cs="Tahoma"/>
                <w:b/>
                <w:sz w:val="20"/>
              </w:rPr>
              <w:t>Docelowa struktura kapitałowa Funduszu Kapitał</w:t>
            </w:r>
            <w:r w:rsidR="00B609BF">
              <w:rPr>
                <w:rFonts w:ascii="Tahoma" w:hAnsi="Tahoma" w:cs="Tahoma"/>
                <w:b/>
                <w:sz w:val="20"/>
              </w:rPr>
              <w:t xml:space="preserve">owego (z zastrzeżeniem pkt. </w:t>
            </w:r>
            <w:r w:rsidR="00300D88" w:rsidRPr="00647CD9">
              <w:rPr>
                <w:rFonts w:ascii="Tahoma" w:hAnsi="Tahoma" w:cs="Tahoma"/>
                <w:b/>
                <w:sz w:val="20"/>
              </w:rPr>
              <w:t>V</w:t>
            </w:r>
            <w:r w:rsidRPr="00647CD9">
              <w:rPr>
                <w:rFonts w:ascii="Tahoma" w:hAnsi="Tahoma" w:cs="Tahoma"/>
                <w:b/>
                <w:sz w:val="20"/>
              </w:rPr>
              <w:t>) będzie następująca:</w:t>
            </w:r>
          </w:p>
          <w:p w:rsidR="00417498" w:rsidRPr="00417498" w:rsidRDefault="00417498" w:rsidP="007D64B1">
            <w:pPr>
              <w:numPr>
                <w:ilvl w:val="0"/>
                <w:numId w:val="7"/>
              </w:num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 w:rsidRPr="00417498">
              <w:rPr>
                <w:rFonts w:ascii="Tahoma" w:hAnsi="Tahoma" w:cs="Tahoma"/>
                <w:sz w:val="20"/>
              </w:rPr>
              <w:t xml:space="preserve">Kapitalizacja Funduszu docelowo będzie wynosiła </w:t>
            </w:r>
            <w:r w:rsidRPr="00647CD9">
              <w:rPr>
                <w:rFonts w:ascii="Tahoma" w:hAnsi="Tahoma" w:cs="Tahoma"/>
                <w:b/>
                <w:sz w:val="20"/>
              </w:rPr>
              <w:t>30.000.000,00</w:t>
            </w:r>
            <w:r w:rsidRPr="00417498">
              <w:rPr>
                <w:rFonts w:ascii="Tahoma" w:hAnsi="Tahoma" w:cs="Tahoma"/>
                <w:sz w:val="20"/>
              </w:rPr>
              <w:t xml:space="preserve">  (słownie: trzydzieści milionów) złotych i zostanie zgromadzona w sposób następujący</w:t>
            </w:r>
            <w:r w:rsidR="00647CD9">
              <w:rPr>
                <w:rFonts w:ascii="Tahoma" w:hAnsi="Tahoma" w:cs="Tahoma"/>
                <w:sz w:val="20"/>
              </w:rPr>
              <w:t xml:space="preserve"> w okresie inwestycyjnym</w:t>
            </w:r>
            <w:r w:rsidRPr="00417498">
              <w:rPr>
                <w:rFonts w:ascii="Tahoma" w:hAnsi="Tahoma" w:cs="Tahoma"/>
                <w:sz w:val="20"/>
              </w:rPr>
              <w:t>:</w:t>
            </w:r>
          </w:p>
          <w:p w:rsidR="00417498" w:rsidRDefault="00417498" w:rsidP="007D64B1">
            <w:pPr>
              <w:numPr>
                <w:ilvl w:val="0"/>
                <w:numId w:val="8"/>
              </w:num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 w:rsidRPr="00417498">
              <w:rPr>
                <w:rFonts w:ascii="Tahoma" w:hAnsi="Tahoma" w:cs="Tahoma"/>
                <w:sz w:val="20"/>
              </w:rPr>
              <w:t>KFK zobowiązuje się wnieść 12.375.000,00 (słownie</w:t>
            </w:r>
            <w:r w:rsidR="00DE3CE1">
              <w:rPr>
                <w:rFonts w:ascii="Tahoma" w:hAnsi="Tahoma" w:cs="Tahoma"/>
                <w:sz w:val="20"/>
              </w:rPr>
              <w:t>:</w:t>
            </w:r>
            <w:r w:rsidRPr="00417498">
              <w:rPr>
                <w:rFonts w:ascii="Tahoma" w:hAnsi="Tahoma" w:cs="Tahoma"/>
                <w:sz w:val="20"/>
              </w:rPr>
              <w:t xml:space="preserve"> dwanaście milionów trzy</w:t>
            </w:r>
            <w:r w:rsidR="00DE3CE1">
              <w:rPr>
                <w:rFonts w:ascii="Tahoma" w:hAnsi="Tahoma" w:cs="Tahoma"/>
                <w:sz w:val="20"/>
              </w:rPr>
              <w:t xml:space="preserve">sta siedemdziesiąt </w:t>
            </w:r>
            <w:r w:rsidR="00DE3CE1">
              <w:rPr>
                <w:rFonts w:ascii="Tahoma" w:hAnsi="Tahoma" w:cs="Tahoma"/>
                <w:sz w:val="20"/>
              </w:rPr>
              <w:lastRenderedPageBreak/>
              <w:t>pięć tysięcy</w:t>
            </w:r>
            <w:r w:rsidRPr="00417498">
              <w:rPr>
                <w:rFonts w:ascii="Tahoma" w:hAnsi="Tahoma" w:cs="Tahoma"/>
                <w:sz w:val="20"/>
              </w:rPr>
              <w:t xml:space="preserve">) złotych na pokrycie wpłat na Instrumenty Kapitałowe; </w:t>
            </w:r>
          </w:p>
          <w:p w:rsidR="00417498" w:rsidRDefault="00417498" w:rsidP="007D64B1">
            <w:pPr>
              <w:numPr>
                <w:ilvl w:val="0"/>
                <w:numId w:val="8"/>
              </w:num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 w:rsidRPr="00417498">
              <w:rPr>
                <w:rFonts w:ascii="Tahoma" w:hAnsi="Tahoma" w:cs="Tahoma"/>
                <w:sz w:val="20"/>
              </w:rPr>
              <w:t>KFK zobowiązuje się wnieść 2.625.000,00 (słownie: dwa miliony sz</w:t>
            </w:r>
            <w:r>
              <w:rPr>
                <w:rFonts w:ascii="Tahoma" w:hAnsi="Tahoma" w:cs="Tahoma"/>
                <w:sz w:val="20"/>
              </w:rPr>
              <w:t>eśćset dwadzieścia pięć tysięcy</w:t>
            </w:r>
            <w:r w:rsidRPr="00417498">
              <w:rPr>
                <w:rFonts w:ascii="Tahoma" w:hAnsi="Tahoma" w:cs="Tahoma"/>
                <w:sz w:val="20"/>
              </w:rPr>
              <w:t>) złotych na pokrycie wpłat tytułem objęcia Instrumentów Dłużnych;</w:t>
            </w:r>
          </w:p>
          <w:p w:rsidR="00417498" w:rsidRDefault="00417498" w:rsidP="007D64B1">
            <w:pPr>
              <w:numPr>
                <w:ilvl w:val="0"/>
                <w:numId w:val="8"/>
              </w:num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 w:rsidRPr="00647CD9">
              <w:rPr>
                <w:rFonts w:ascii="Tahoma" w:hAnsi="Tahoma" w:cs="Tahoma"/>
                <w:sz w:val="20"/>
                <w:u w:val="single"/>
              </w:rPr>
              <w:t>Inwestor</w:t>
            </w:r>
            <w:r w:rsidR="00647CD9" w:rsidRPr="00647CD9">
              <w:rPr>
                <w:rFonts w:ascii="Tahoma" w:hAnsi="Tahoma" w:cs="Tahoma"/>
                <w:sz w:val="20"/>
                <w:u w:val="single"/>
              </w:rPr>
              <w:t xml:space="preserve"> (DGA)</w:t>
            </w:r>
            <w:r w:rsidRPr="00647CD9">
              <w:rPr>
                <w:rFonts w:ascii="Tahoma" w:hAnsi="Tahoma" w:cs="Tahoma"/>
                <w:sz w:val="20"/>
                <w:u w:val="single"/>
              </w:rPr>
              <w:t xml:space="preserve">  zobowiązuje się wnieść  15.000.000,00</w:t>
            </w:r>
            <w:r w:rsidRPr="00417498">
              <w:rPr>
                <w:rFonts w:ascii="Tahoma" w:hAnsi="Tahoma" w:cs="Tahoma"/>
                <w:sz w:val="20"/>
              </w:rPr>
              <w:t xml:space="preserve"> (słownie:  piętnaście milionów) złotych na pokrycie </w:t>
            </w:r>
            <w:r w:rsidR="00DE3CE1">
              <w:rPr>
                <w:rFonts w:ascii="Tahoma" w:hAnsi="Tahoma" w:cs="Tahoma"/>
                <w:sz w:val="20"/>
              </w:rPr>
              <w:t>wpłat na Instrumenty Kapitałowe</w:t>
            </w:r>
            <w:r w:rsidRPr="00417498">
              <w:rPr>
                <w:rFonts w:ascii="Tahoma" w:hAnsi="Tahoma" w:cs="Tahoma"/>
                <w:sz w:val="20"/>
              </w:rPr>
              <w:t>;</w:t>
            </w:r>
          </w:p>
          <w:p w:rsidR="00C32242" w:rsidRDefault="00417498" w:rsidP="007D64B1">
            <w:pPr>
              <w:numPr>
                <w:ilvl w:val="0"/>
                <w:numId w:val="8"/>
              </w:num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 w:rsidRPr="00417498">
              <w:rPr>
                <w:rFonts w:ascii="Tahoma" w:hAnsi="Tahoma" w:cs="Tahoma"/>
                <w:sz w:val="20"/>
              </w:rPr>
              <w:t>Komplementariusz zobowiązuje się wnieść 2.000</w:t>
            </w:r>
            <w:r w:rsidR="00DE3CE1">
              <w:rPr>
                <w:rFonts w:ascii="Tahoma" w:hAnsi="Tahoma" w:cs="Tahoma"/>
                <w:sz w:val="20"/>
              </w:rPr>
              <w:t>,00</w:t>
            </w:r>
            <w:r w:rsidRPr="00417498">
              <w:rPr>
                <w:rFonts w:ascii="Tahoma" w:hAnsi="Tahoma" w:cs="Tahoma"/>
                <w:sz w:val="20"/>
              </w:rPr>
              <w:t xml:space="preserve"> (słownie: dwa tysiące) złotych na pokrycie Wkładu Komplementariusza.</w:t>
            </w:r>
          </w:p>
          <w:p w:rsidR="00D379FA" w:rsidRDefault="00D379FA" w:rsidP="007D64B1">
            <w:p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Udział DGA i KFK w docelowej Kapitalizacji Funduszu Kapitałowego wynosić będzie po 50% udziałów.</w:t>
            </w:r>
          </w:p>
          <w:p w:rsidR="00602896" w:rsidRDefault="00602896" w:rsidP="007D64B1">
            <w:p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 w:rsidRPr="00602896">
              <w:rPr>
                <w:rFonts w:ascii="Tahoma" w:hAnsi="Tahoma" w:cs="Tahoma"/>
                <w:sz w:val="20"/>
              </w:rPr>
              <w:t xml:space="preserve">Strony </w:t>
            </w:r>
            <w:r>
              <w:rPr>
                <w:rFonts w:ascii="Tahoma" w:hAnsi="Tahoma" w:cs="Tahoma"/>
                <w:sz w:val="20"/>
              </w:rPr>
              <w:t>ustaliły</w:t>
            </w:r>
            <w:r w:rsidRPr="00602896">
              <w:rPr>
                <w:rFonts w:ascii="Tahoma" w:hAnsi="Tahoma" w:cs="Tahoma"/>
                <w:sz w:val="20"/>
              </w:rPr>
              <w:t xml:space="preserve">, że z kwoty </w:t>
            </w:r>
            <w:r w:rsidR="00121F4B">
              <w:rPr>
                <w:rFonts w:ascii="Tahoma" w:hAnsi="Tahoma" w:cs="Tahoma"/>
                <w:sz w:val="20"/>
              </w:rPr>
              <w:t xml:space="preserve">30.000.000,00 (słownie: trzydzieści milionów) złotych </w:t>
            </w:r>
            <w:r w:rsidRPr="00602896">
              <w:rPr>
                <w:rFonts w:ascii="Tahoma" w:hAnsi="Tahoma" w:cs="Tahoma"/>
                <w:sz w:val="20"/>
              </w:rPr>
              <w:t>Kapitalizacji Funduszu nie więcej niż 8.400.000,00 (słownie: osiem milionów czterysta tysięcy) złotych zostanie przeznaczonych na Opłatę za zarządzanie oraz na Program Motywacyjny</w:t>
            </w:r>
            <w:r>
              <w:rPr>
                <w:rFonts w:ascii="Tahoma" w:hAnsi="Tahoma" w:cs="Tahoma"/>
                <w:sz w:val="20"/>
              </w:rPr>
              <w:t xml:space="preserve">, </w:t>
            </w:r>
            <w:r w:rsidRPr="00602896">
              <w:rPr>
                <w:rFonts w:ascii="Tahoma" w:hAnsi="Tahoma" w:cs="Tahoma"/>
                <w:sz w:val="20"/>
              </w:rPr>
              <w:t>z zastrzeżeniem, ze wskazana powyżej kwota może zostać powiększona o dodatkowe 600.000,00 (sło</w:t>
            </w:r>
            <w:r>
              <w:rPr>
                <w:rFonts w:ascii="Tahoma" w:hAnsi="Tahoma" w:cs="Tahoma"/>
                <w:sz w:val="20"/>
              </w:rPr>
              <w:t>wnie: sześćset tysięcy) złotych</w:t>
            </w:r>
            <w:r w:rsidRPr="00602896">
              <w:rPr>
                <w:rFonts w:ascii="Tahoma" w:hAnsi="Tahoma" w:cs="Tahoma"/>
                <w:sz w:val="20"/>
              </w:rPr>
              <w:t>, pod warunkiem zatwierdzenia takiego zwiększenia przez Radę Nadzorczą Funduszu, a pozostała część Wkładów do kwoty 21.600.000,00</w:t>
            </w:r>
            <w:r w:rsidR="00620A82">
              <w:rPr>
                <w:rFonts w:ascii="Tahoma" w:hAnsi="Tahoma" w:cs="Tahoma"/>
                <w:sz w:val="20"/>
              </w:rPr>
              <w:t xml:space="preserve"> </w:t>
            </w:r>
            <w:r w:rsidRPr="00602896">
              <w:rPr>
                <w:rFonts w:ascii="Tahoma" w:hAnsi="Tahoma" w:cs="Tahoma"/>
                <w:sz w:val="20"/>
              </w:rPr>
              <w:t>(słownie: dwadzieścia jeden milionów sześćset tysięcy) złotych zostanie przeznaczona na Inwestycje</w:t>
            </w:r>
            <w:r w:rsidR="00920C69">
              <w:rPr>
                <w:rFonts w:ascii="Tahoma" w:hAnsi="Tahoma" w:cs="Tahoma"/>
                <w:sz w:val="20"/>
              </w:rPr>
              <w:t>.</w:t>
            </w:r>
          </w:p>
          <w:p w:rsidR="00D379FA" w:rsidRPr="00647CD9" w:rsidRDefault="001D2682" w:rsidP="007D64B1">
            <w:pPr>
              <w:numPr>
                <w:ilvl w:val="0"/>
                <w:numId w:val="6"/>
              </w:num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b/>
                <w:sz w:val="20"/>
              </w:rPr>
            </w:pPr>
            <w:r w:rsidRPr="00647CD9">
              <w:rPr>
                <w:rFonts w:ascii="Tahoma" w:hAnsi="Tahoma" w:cs="Tahoma"/>
                <w:b/>
                <w:sz w:val="20"/>
              </w:rPr>
              <w:t>Strony uzgodniły, że docelowa Kapitalizacja Funduszu Kapitałowego, o której mowa w pkt. I</w:t>
            </w:r>
            <w:r w:rsidR="00B609BF">
              <w:rPr>
                <w:rFonts w:ascii="Tahoma" w:hAnsi="Tahoma" w:cs="Tahoma"/>
                <w:b/>
                <w:sz w:val="20"/>
              </w:rPr>
              <w:t>V</w:t>
            </w:r>
            <w:r w:rsidRPr="00647CD9">
              <w:rPr>
                <w:rFonts w:ascii="Tahoma" w:hAnsi="Tahoma" w:cs="Tahoma"/>
                <w:b/>
                <w:sz w:val="20"/>
              </w:rPr>
              <w:t xml:space="preserve">, może zostać zwiększona </w:t>
            </w:r>
            <w:r w:rsidR="00D86CCB" w:rsidRPr="00647CD9">
              <w:rPr>
                <w:rFonts w:ascii="Tahoma" w:hAnsi="Tahoma" w:cs="Tahoma"/>
                <w:b/>
                <w:sz w:val="20"/>
              </w:rPr>
              <w:t xml:space="preserve">(„zwiększenie kapitalizacji”) </w:t>
            </w:r>
            <w:r w:rsidRPr="00647CD9">
              <w:rPr>
                <w:rFonts w:ascii="Tahoma" w:hAnsi="Tahoma" w:cs="Tahoma"/>
                <w:b/>
                <w:sz w:val="20"/>
              </w:rPr>
              <w:t>powyżej kwoty 30.000.000,00 (słownie: trzydziestu milionów) złotych</w:t>
            </w:r>
            <w:r w:rsidR="00FF396F" w:rsidRPr="00647CD9">
              <w:rPr>
                <w:rFonts w:ascii="Tahoma" w:hAnsi="Tahoma" w:cs="Tahoma"/>
                <w:b/>
                <w:sz w:val="20"/>
              </w:rPr>
              <w:t>:</w:t>
            </w:r>
          </w:p>
          <w:p w:rsidR="00920C69" w:rsidRDefault="00FF396F" w:rsidP="007D64B1">
            <w:pPr>
              <w:numPr>
                <w:ilvl w:val="0"/>
                <w:numId w:val="10"/>
              </w:num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przypadku </w:t>
            </w:r>
            <w:r w:rsidR="00920C69" w:rsidRPr="00920C69">
              <w:rPr>
                <w:rFonts w:ascii="Tahoma" w:hAnsi="Tahoma" w:cs="Tahoma"/>
                <w:sz w:val="20"/>
              </w:rPr>
              <w:t>osiągnięcia docelowej Kapitalizacji Funduszu w kwocie 60.000.000,00 (słownie: sześćdziesiąt milionów) złotych  nie więcej niż 16.200.000,00 (słownie: szesnaście milionów dwieście tysięcy) złotych zostanie przeznaczonych na Opłatę za zarządzanie oraz na Program Motywacyjny,</w:t>
            </w:r>
            <w:r w:rsidR="00920C69">
              <w:rPr>
                <w:rFonts w:ascii="Tahoma" w:hAnsi="Tahoma" w:cs="Tahoma"/>
                <w:sz w:val="20"/>
              </w:rPr>
              <w:t xml:space="preserve"> </w:t>
            </w:r>
            <w:r w:rsidR="00920C69" w:rsidRPr="00920C69">
              <w:rPr>
                <w:rFonts w:ascii="Tahoma" w:hAnsi="Tahoma" w:cs="Tahoma"/>
                <w:sz w:val="20"/>
              </w:rPr>
              <w:t>z zastrzeżeniem, że wskazana powyżej kwota może zostać powiększona o dodatkowe 900.000,00 (słownie: dziewięćset tysięcy) złotych, pod warunkiem zatwierdzenia takiego zwiększenia przez Radę Nadzorczą Funduszu, a pozostała część Wkładów do kwoty 42.900.000,00</w:t>
            </w:r>
            <w:r w:rsidR="00920C69">
              <w:rPr>
                <w:rFonts w:ascii="Tahoma" w:hAnsi="Tahoma" w:cs="Tahoma"/>
                <w:sz w:val="20"/>
              </w:rPr>
              <w:t xml:space="preserve"> (słownie: </w:t>
            </w:r>
            <w:r w:rsidR="00920C69" w:rsidRPr="00920C69">
              <w:rPr>
                <w:rFonts w:ascii="Tahoma" w:hAnsi="Tahoma" w:cs="Tahoma"/>
                <w:sz w:val="20"/>
              </w:rPr>
              <w:t>czterdzieści dwa miliony dziewięćset  tysięcy) złotych zostanie przeznaczona na Inwestycje</w:t>
            </w:r>
            <w:r w:rsidR="00920C69">
              <w:rPr>
                <w:rFonts w:ascii="Tahoma" w:hAnsi="Tahoma" w:cs="Tahoma"/>
                <w:sz w:val="20"/>
              </w:rPr>
              <w:t>.</w:t>
            </w:r>
          </w:p>
          <w:p w:rsidR="00D86CCB" w:rsidRPr="00D86CCB" w:rsidRDefault="00920C69" w:rsidP="007D64B1">
            <w:pPr>
              <w:numPr>
                <w:ilvl w:val="0"/>
                <w:numId w:val="10"/>
              </w:num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 w:rsidRPr="00920C69">
              <w:rPr>
                <w:rFonts w:ascii="Tahoma" w:hAnsi="Tahoma" w:cs="Tahoma"/>
                <w:sz w:val="20"/>
              </w:rPr>
              <w:t>w przypadku osiągnięcia docelowej Kapitalizacji Funduszu w kwocie 80.000.000,00 (słownie: osiemdziesięciu milionów) złotych  nie więcej niż 20.000.000,00 (słownie: dwadzieścia milionów) złotych zostanie przeznaczonych na Opłatę za zarządzanie oraz na Program Motywacyjny,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920C69">
              <w:rPr>
                <w:rFonts w:ascii="Tahoma" w:hAnsi="Tahoma" w:cs="Tahoma"/>
                <w:sz w:val="20"/>
              </w:rPr>
              <w:t>z zastrzeżeniem, że wskazana powyżej kwota może zostać powiększona o dodatkowe 1.000.000,00 (słownie: jeden milion) złotych, pod warunkiem zatwierdzenia takiego zwiększenia przez Radę Nadzorczą Funduszu, a pozostała część Wkładów w kwocie 60.000.000,00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920C69">
              <w:rPr>
                <w:rFonts w:ascii="Tahoma" w:hAnsi="Tahoma" w:cs="Tahoma"/>
                <w:sz w:val="20"/>
              </w:rPr>
              <w:t>(słownie: sześćdziesiąt milionów złotych zosta</w:t>
            </w:r>
            <w:r>
              <w:rPr>
                <w:rFonts w:ascii="Tahoma" w:hAnsi="Tahoma" w:cs="Tahoma"/>
                <w:sz w:val="20"/>
              </w:rPr>
              <w:t>nie przeznaczona na Inwestycje.</w:t>
            </w:r>
          </w:p>
          <w:p w:rsidR="00920C69" w:rsidRPr="00D86CCB" w:rsidRDefault="00920C69" w:rsidP="007D64B1">
            <w:pPr>
              <w:numPr>
                <w:ilvl w:val="0"/>
                <w:numId w:val="6"/>
              </w:num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 w:rsidRPr="00647CD9">
              <w:rPr>
                <w:rFonts w:ascii="Tahoma" w:hAnsi="Tahoma" w:cs="Tahoma"/>
                <w:b/>
                <w:sz w:val="20"/>
              </w:rPr>
              <w:t>Zwiększenie Kapitalizacji</w:t>
            </w:r>
            <w:r w:rsidR="00D86CCB" w:rsidRPr="00647CD9">
              <w:rPr>
                <w:rFonts w:ascii="Tahoma" w:hAnsi="Tahoma" w:cs="Tahoma"/>
                <w:b/>
                <w:sz w:val="20"/>
              </w:rPr>
              <w:t xml:space="preserve"> możliwe jest w terminie nie dłuższym niż 12 miesięcy od dnia wniesienia pierwszego Wkładu przez KFK do Funduszu Kapitałowego.</w:t>
            </w:r>
            <w:r w:rsidR="00D86CCB">
              <w:rPr>
                <w:rFonts w:ascii="Tahoma" w:hAnsi="Tahoma" w:cs="Tahoma"/>
                <w:sz w:val="20"/>
              </w:rPr>
              <w:t xml:space="preserve"> Zwiększenie Kapitalizacji</w:t>
            </w:r>
            <w:r w:rsidRPr="00D86CCB">
              <w:rPr>
                <w:rFonts w:ascii="Tahoma" w:hAnsi="Tahoma" w:cs="Tahoma"/>
                <w:sz w:val="20"/>
              </w:rPr>
              <w:t xml:space="preserve"> rozumiane</w:t>
            </w:r>
            <w:r w:rsidR="00D86CCB">
              <w:rPr>
                <w:rFonts w:ascii="Tahoma" w:hAnsi="Tahoma" w:cs="Tahoma"/>
                <w:sz w:val="20"/>
              </w:rPr>
              <w:t xml:space="preserve"> jest</w:t>
            </w:r>
            <w:r w:rsidRPr="00D86CCB">
              <w:rPr>
                <w:rFonts w:ascii="Tahoma" w:hAnsi="Tahoma" w:cs="Tahoma"/>
                <w:sz w:val="20"/>
              </w:rPr>
              <w:t xml:space="preserve"> jako deklaracja wniesienia nowych Wkładów pieniężnych, przy czym Zwiększenie Kapitalizacji Funduszu Kapitałowego może zostać dokonane:</w:t>
            </w:r>
          </w:p>
          <w:p w:rsidR="00D86CCB" w:rsidRDefault="00920C69" w:rsidP="007D64B1">
            <w:pPr>
              <w:numPr>
                <w:ilvl w:val="0"/>
                <w:numId w:val="11"/>
              </w:num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 w:rsidRPr="00D86CCB">
              <w:rPr>
                <w:rFonts w:ascii="Tahoma" w:hAnsi="Tahoma" w:cs="Tahoma"/>
                <w:sz w:val="20"/>
              </w:rPr>
              <w:t xml:space="preserve">bez udziału KFK, tj. poprzez wniesienie dodatkowych Wkładów, do Funduszu Kapitałowego przez </w:t>
            </w:r>
            <w:r w:rsidR="00D86CCB" w:rsidRPr="00D86CCB">
              <w:rPr>
                <w:rFonts w:ascii="Tahoma" w:hAnsi="Tahoma" w:cs="Tahoma"/>
                <w:sz w:val="20"/>
              </w:rPr>
              <w:t>DGA</w:t>
            </w:r>
            <w:r w:rsidRPr="00D86CCB">
              <w:rPr>
                <w:rFonts w:ascii="Tahoma" w:hAnsi="Tahoma" w:cs="Tahoma"/>
                <w:sz w:val="20"/>
              </w:rPr>
              <w:t xml:space="preserve"> lub nowego inwestora, lub</w:t>
            </w:r>
          </w:p>
          <w:p w:rsidR="00920C69" w:rsidRPr="00D86CCB" w:rsidRDefault="00920C69" w:rsidP="007D64B1">
            <w:pPr>
              <w:numPr>
                <w:ilvl w:val="0"/>
                <w:numId w:val="11"/>
              </w:num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 w:rsidRPr="00D86CCB">
              <w:rPr>
                <w:rFonts w:ascii="Tahoma" w:hAnsi="Tahoma" w:cs="Tahoma"/>
                <w:sz w:val="20"/>
              </w:rPr>
              <w:t xml:space="preserve">przy udziale KFK. </w:t>
            </w:r>
          </w:p>
          <w:p w:rsidR="00920C69" w:rsidRPr="00920C69" w:rsidRDefault="00920C69" w:rsidP="007D64B1">
            <w:p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 w:rsidRPr="00920C69">
              <w:rPr>
                <w:rFonts w:ascii="Tahoma" w:hAnsi="Tahoma" w:cs="Tahoma"/>
                <w:sz w:val="20"/>
              </w:rPr>
              <w:t>W przypadku Zwiększenia Kapitalizacji Funduszu do kwoty nie wyższej niż 50.000.000,00 (słownie: pięćdziesiąt milionów) złotych, KFK będzie uczestniczyć w takim Zwiększeniu Kapitalizacji.</w:t>
            </w:r>
          </w:p>
          <w:p w:rsidR="00920C69" w:rsidRPr="00920C69" w:rsidRDefault="00920C69" w:rsidP="007D64B1">
            <w:p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 w:rsidRPr="00920C69">
              <w:rPr>
                <w:rFonts w:ascii="Tahoma" w:hAnsi="Tahoma" w:cs="Tahoma"/>
                <w:sz w:val="20"/>
              </w:rPr>
              <w:t>W przypadku Zwiększenia Kapitalizacji Funduszu powyżej kwoty 50.000.000,00 (słownie: pi</w:t>
            </w:r>
            <w:r w:rsidR="00D86CCB">
              <w:rPr>
                <w:rFonts w:ascii="Tahoma" w:hAnsi="Tahoma" w:cs="Tahoma"/>
                <w:sz w:val="20"/>
              </w:rPr>
              <w:t>ęćdziesiąt milionów) złotych i</w:t>
            </w:r>
            <w:r w:rsidRPr="00920C69">
              <w:rPr>
                <w:rFonts w:ascii="Tahoma" w:hAnsi="Tahoma" w:cs="Tahoma"/>
                <w:sz w:val="20"/>
              </w:rPr>
              <w:t xml:space="preserve"> kwoty nie wyższej niż 80.000.000,00 (słownie: osiemdziesiąt milionów) złotych, KFK </w:t>
            </w:r>
            <w:r w:rsidRPr="00920C69">
              <w:rPr>
                <w:rFonts w:ascii="Tahoma" w:hAnsi="Tahoma" w:cs="Tahoma"/>
                <w:sz w:val="20"/>
              </w:rPr>
              <w:lastRenderedPageBreak/>
              <w:t>będzie mieć prawo, ale nie obowiązek, uczestniczyć w takim zwiększeniu Kapitalizacji Funduszu.</w:t>
            </w:r>
          </w:p>
          <w:p w:rsidR="00920C69" w:rsidRPr="00920C69" w:rsidRDefault="00920C69" w:rsidP="007D64B1">
            <w:p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 w:rsidRPr="00920C69">
              <w:rPr>
                <w:rFonts w:ascii="Tahoma" w:hAnsi="Tahoma" w:cs="Tahoma"/>
                <w:sz w:val="20"/>
              </w:rPr>
              <w:t>Zwiększenie Kapitalizacji Funduszu Kapitałowego może zostać zrealizowane pod warunkiem, że:</w:t>
            </w:r>
          </w:p>
          <w:p w:rsidR="00920C69" w:rsidRPr="00920C69" w:rsidRDefault="00CF5D17" w:rsidP="007D64B1">
            <w:p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1) </w:t>
            </w:r>
            <w:r w:rsidR="00920C69" w:rsidRPr="00920C69">
              <w:rPr>
                <w:rFonts w:ascii="Tahoma" w:hAnsi="Tahoma" w:cs="Tahoma"/>
                <w:sz w:val="20"/>
              </w:rPr>
              <w:t>zostanie zachowana Polityka Inwestycyjna Funduszu Kapitałowego,</w:t>
            </w:r>
          </w:p>
          <w:p w:rsidR="00920C69" w:rsidRPr="00920C69" w:rsidRDefault="00CF5D17" w:rsidP="007D64B1">
            <w:p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2) </w:t>
            </w:r>
            <w:r w:rsidR="00920C69" w:rsidRPr="00920C69">
              <w:rPr>
                <w:rFonts w:ascii="Tahoma" w:hAnsi="Tahoma" w:cs="Tahoma"/>
                <w:sz w:val="20"/>
              </w:rPr>
              <w:t>udział KFK w Funduszu nie spadnie poniżej 15%,</w:t>
            </w:r>
          </w:p>
          <w:p w:rsidR="00920C69" w:rsidRPr="00920C69" w:rsidRDefault="00CF5D17" w:rsidP="007D64B1">
            <w:p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3) </w:t>
            </w:r>
            <w:r w:rsidR="00920C69" w:rsidRPr="00920C69">
              <w:rPr>
                <w:rFonts w:ascii="Tahoma" w:hAnsi="Tahoma" w:cs="Tahoma"/>
                <w:sz w:val="20"/>
              </w:rPr>
              <w:t xml:space="preserve">na Zwiększenie Kapitalizacji Funduszu Kapitałowego wyrażą zgodę  </w:t>
            </w:r>
            <w:r w:rsidR="00EB1264">
              <w:rPr>
                <w:rFonts w:ascii="Tahoma" w:hAnsi="Tahoma" w:cs="Tahoma"/>
                <w:sz w:val="20"/>
              </w:rPr>
              <w:t>DGA</w:t>
            </w:r>
            <w:r w:rsidR="00920C69" w:rsidRPr="00920C69">
              <w:rPr>
                <w:rFonts w:ascii="Tahoma" w:hAnsi="Tahoma" w:cs="Tahoma"/>
                <w:sz w:val="20"/>
              </w:rPr>
              <w:t>, KFK oraz Podmiot Zarządzający,</w:t>
            </w:r>
          </w:p>
          <w:p w:rsidR="00920C69" w:rsidRPr="00920C69" w:rsidRDefault="00CF5D17" w:rsidP="007D64B1">
            <w:p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4) </w:t>
            </w:r>
            <w:r w:rsidR="00EB1264">
              <w:rPr>
                <w:rFonts w:ascii="Tahoma" w:hAnsi="Tahoma" w:cs="Tahoma"/>
                <w:sz w:val="20"/>
              </w:rPr>
              <w:t>u</w:t>
            </w:r>
            <w:r w:rsidR="00920C69" w:rsidRPr="00920C69">
              <w:rPr>
                <w:rFonts w:ascii="Tahoma" w:hAnsi="Tahoma" w:cs="Tahoma"/>
                <w:sz w:val="20"/>
              </w:rPr>
              <w:t>mowa</w:t>
            </w:r>
            <w:r w:rsidR="00EB1264">
              <w:rPr>
                <w:rFonts w:ascii="Tahoma" w:hAnsi="Tahoma" w:cs="Tahoma"/>
                <w:sz w:val="20"/>
              </w:rPr>
              <w:t xml:space="preserve"> o udzielenie wsparcia finansowego</w:t>
            </w:r>
            <w:r w:rsidR="00920C69" w:rsidRPr="00920C69">
              <w:rPr>
                <w:rFonts w:ascii="Tahoma" w:hAnsi="Tahoma" w:cs="Tahoma"/>
                <w:sz w:val="20"/>
              </w:rPr>
              <w:t xml:space="preserve"> zostanie aneksowana w niezbędnym zakresie przez wszystkie Strony.</w:t>
            </w:r>
          </w:p>
          <w:p w:rsidR="00332932" w:rsidRDefault="00332932" w:rsidP="007D64B1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0F48D6" w:rsidRPr="002C0A81" w:rsidRDefault="002252F6" w:rsidP="000F48D6">
            <w:pPr>
              <w:numPr>
                <w:ilvl w:val="0"/>
                <w:numId w:val="6"/>
              </w:num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 w:rsidRPr="00647CD9">
              <w:rPr>
                <w:rFonts w:ascii="Tahoma" w:hAnsi="Tahoma" w:cs="Tahoma"/>
                <w:b/>
                <w:sz w:val="20"/>
              </w:rPr>
              <w:t>Kary umowne</w:t>
            </w:r>
            <w:r w:rsidR="000F48D6" w:rsidRPr="002C0A81">
              <w:rPr>
                <w:rFonts w:ascii="Tahoma" w:hAnsi="Tahoma" w:cs="Tahoma"/>
                <w:sz w:val="20"/>
              </w:rPr>
              <w:t xml:space="preserve"> - umowa zawiera postanowienia dotyczące kar umownych, których maksymalna wysokość może przekroczyć równowartość co najmniej 10% wartości umowy lub co najmniej wyrażoną w złotych równowartość kwoty 200.000 euro. Nie można określić jej maksymalnego poziomu, gdyż </w:t>
            </w:r>
            <w:r w:rsidR="0004004A" w:rsidRPr="002C0A81">
              <w:rPr>
                <w:rFonts w:ascii="Tahoma" w:hAnsi="Tahoma" w:cs="Tahoma"/>
                <w:sz w:val="20"/>
              </w:rPr>
              <w:t>wysokość kary wynika z naruszenia określonych warunków umowy, o których mowa poniżej.</w:t>
            </w:r>
            <w:r w:rsidR="000F48D6" w:rsidRPr="002C0A81">
              <w:rPr>
                <w:rFonts w:ascii="Tahoma" w:hAnsi="Tahoma" w:cs="Tahoma"/>
                <w:sz w:val="20"/>
              </w:rPr>
              <w:t xml:space="preserve"> </w:t>
            </w:r>
          </w:p>
          <w:p w:rsidR="002252F6" w:rsidRPr="002C0A81" w:rsidRDefault="002252F6" w:rsidP="002252F6">
            <w:p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 w:rsidRPr="002C0A81">
              <w:rPr>
                <w:rFonts w:ascii="Tahoma" w:hAnsi="Tahoma" w:cs="Tahoma"/>
                <w:sz w:val="20"/>
              </w:rPr>
              <w:t xml:space="preserve">Akcjonariusze </w:t>
            </w:r>
            <w:r w:rsidR="000F48D6" w:rsidRPr="002C0A81">
              <w:rPr>
                <w:rFonts w:ascii="Tahoma" w:hAnsi="Tahoma" w:cs="Tahoma"/>
                <w:sz w:val="20"/>
              </w:rPr>
              <w:t>z</w:t>
            </w:r>
            <w:r w:rsidRPr="002C0A81">
              <w:rPr>
                <w:rFonts w:ascii="Tahoma" w:hAnsi="Tahoma" w:cs="Tahoma"/>
                <w:sz w:val="20"/>
              </w:rPr>
              <w:t xml:space="preserve">obowiązują się głosować na Walnych Zgromadzeniach Akcjonariuszy Funduszu Kapitałowego za uchwałami wyrażającymi zgodę na podwyższenie kapitału zakładowego Funduszu Kapitałowego oraz uchwałami wyrażającymi zgodę na emisję Instrumentów Dłużnych zgodnie z uzasadnionym zapotrzebowaniem zgłoszonym przez Podmiot Zarządzający. </w:t>
            </w:r>
          </w:p>
          <w:p w:rsidR="002252F6" w:rsidRPr="002252F6" w:rsidRDefault="002252F6" w:rsidP="002252F6">
            <w:p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 w:rsidRPr="002C0A81">
              <w:rPr>
                <w:rFonts w:ascii="Tahoma" w:hAnsi="Tahoma" w:cs="Tahoma"/>
                <w:sz w:val="20"/>
              </w:rPr>
              <w:t>W przypadku nie podjęcia którejkolwiek z Uchwał w przedmiocie wniesienia Wkładów w Okresie Inwestycyjnym, na skutek niestawienia się któregokolwiek z Akcjonariuszy</w:t>
            </w:r>
            <w:r w:rsidR="00D72D35" w:rsidRPr="002C0A81">
              <w:rPr>
                <w:rFonts w:ascii="Tahoma" w:hAnsi="Tahoma" w:cs="Tahoma"/>
                <w:sz w:val="20"/>
              </w:rPr>
              <w:t xml:space="preserve"> (w tym DGA)</w:t>
            </w:r>
            <w:r w:rsidRPr="002C0A81">
              <w:rPr>
                <w:rFonts w:ascii="Tahoma" w:hAnsi="Tahoma" w:cs="Tahoma"/>
                <w:sz w:val="20"/>
              </w:rPr>
              <w:t xml:space="preserve"> lub głosowania przeciwko którejkolwiek z takich Uchwał lub</w:t>
            </w:r>
            <w:r w:rsidRPr="002252F6">
              <w:rPr>
                <w:rFonts w:ascii="Tahoma" w:hAnsi="Tahoma" w:cs="Tahoma"/>
                <w:sz w:val="20"/>
              </w:rPr>
              <w:t xml:space="preserve"> wstrzymania się od głosu przy głosowaniu nad przyjęciem którejkolwiek z takich Uchwał, Komplementariusz zwoła kolejne Walne Zgromadzenie </w:t>
            </w:r>
            <w:r>
              <w:rPr>
                <w:rFonts w:ascii="Tahoma" w:hAnsi="Tahoma" w:cs="Tahoma"/>
                <w:sz w:val="20"/>
              </w:rPr>
              <w:t>w terminie nie dłuższym niż 21</w:t>
            </w:r>
            <w:r w:rsidRPr="002252F6">
              <w:rPr>
                <w:rFonts w:ascii="Tahoma" w:hAnsi="Tahoma" w:cs="Tahoma"/>
                <w:sz w:val="20"/>
              </w:rPr>
              <w:t xml:space="preserve"> dni. W przypadku, gdy na ponownie zwołanym Walnym Zgromadzeniu nie dojdzie do podjęcia jakiejkolwiek z Uchwał w przedmiocie wniesienia Wkładów, wówczas Akcjonariusz, który nie stawił się na Walnym Zgromadzeniu lub głosował przeciw podjęciu którejkolwiek z takich Uchwał, lub się wstrzymał (na skutek czego którakolwiek z Uchwał nie zostanie podjęta), zapłaci karę umowną w wysokości: </w:t>
            </w:r>
          </w:p>
          <w:p w:rsidR="002252F6" w:rsidRPr="002252F6" w:rsidRDefault="002252F6" w:rsidP="002252F6">
            <w:pPr>
              <w:numPr>
                <w:ilvl w:val="0"/>
                <w:numId w:val="17"/>
              </w:num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 w:rsidRPr="002252F6">
              <w:rPr>
                <w:rFonts w:ascii="Tahoma" w:hAnsi="Tahoma" w:cs="Tahoma"/>
                <w:sz w:val="20"/>
              </w:rPr>
              <w:t>5% zadeklarowanego przez takiego Akcjonariusza Wkładu w docelowej Kapitalizacji Funduszu</w:t>
            </w:r>
            <w:r>
              <w:rPr>
                <w:rFonts w:ascii="Tahoma" w:hAnsi="Tahoma" w:cs="Tahoma"/>
                <w:sz w:val="20"/>
              </w:rPr>
              <w:t>,</w:t>
            </w:r>
            <w:r w:rsidRPr="002252F6">
              <w:rPr>
                <w:rFonts w:ascii="Tahoma" w:hAnsi="Tahoma" w:cs="Tahoma"/>
                <w:sz w:val="20"/>
              </w:rPr>
              <w:t xml:space="preserve"> ale nie mniej niż 100.000,00 (słownie: sto tysięcy) złotych w odniesieniu do którejkolwiek z Uchwał w przedmiocie Wniesienia Wkładów dotyczących środków na pokrycie Opłaty za zarządzanie za każdy przypadek nie stawienia się lub wstrzymania się, lub głosowania przeciwko podjęciu którejkolwiek z takich Uchwał;</w:t>
            </w:r>
          </w:p>
          <w:p w:rsidR="002252F6" w:rsidRPr="002252F6" w:rsidRDefault="002252F6" w:rsidP="00D72D35">
            <w:pPr>
              <w:numPr>
                <w:ilvl w:val="0"/>
                <w:numId w:val="17"/>
              </w:num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 w:rsidRPr="002252F6">
              <w:rPr>
                <w:rFonts w:ascii="Tahoma" w:hAnsi="Tahoma" w:cs="Tahoma"/>
                <w:sz w:val="20"/>
              </w:rPr>
              <w:t>10% zadeklarowanego przez takiego Akcjonariusza Wkładu w docelowej Kapitalizacji Funduszu</w:t>
            </w:r>
            <w:r w:rsidR="00D72D35">
              <w:rPr>
                <w:rFonts w:ascii="Tahoma" w:hAnsi="Tahoma" w:cs="Tahoma"/>
                <w:sz w:val="20"/>
              </w:rPr>
              <w:t>,</w:t>
            </w:r>
            <w:r w:rsidRPr="002252F6">
              <w:rPr>
                <w:rFonts w:ascii="Tahoma" w:hAnsi="Tahoma" w:cs="Tahoma"/>
                <w:sz w:val="20"/>
              </w:rPr>
              <w:t xml:space="preserve"> ale nie mniej niż 200.000,00 (słownie: dwieście  tysięcy) złotych w odniesieniu do którejkolwiek z Uchwał w przedmiocie Wniesienia Wkładów dotyczących środków na pokrycie Inwestycji za każdy przypadek nie stawienia się lub wstrzymania się, lub głosowania przeciwko podjęciu którejkolwiek z takich Uchwał; </w:t>
            </w:r>
          </w:p>
          <w:p w:rsidR="002252F6" w:rsidRDefault="002252F6" w:rsidP="002252F6">
            <w:pPr>
              <w:shd w:val="clear" w:color="auto" w:fill="FFFFFF"/>
              <w:spacing w:before="240" w:after="200"/>
              <w:ind w:left="720"/>
              <w:jc w:val="both"/>
              <w:rPr>
                <w:rFonts w:ascii="Tahoma" w:hAnsi="Tahoma" w:cs="Tahoma"/>
                <w:sz w:val="20"/>
              </w:rPr>
            </w:pPr>
            <w:r w:rsidRPr="002252F6">
              <w:rPr>
                <w:rFonts w:ascii="Tahoma" w:hAnsi="Tahoma" w:cs="Tahoma"/>
                <w:sz w:val="20"/>
              </w:rPr>
              <w:t xml:space="preserve">Kara umowna będzie płatna na rzecz każdego z Akcjonariuszy, który uczestniczył w Walnym Zgromadzeniu i głosował za podjęciem Uchwał („Akcjonariusz Uprawniony”) w procencie wyliczanym dla każdego Akcjonariusza Uprawnionego jako stosunek zadeklarowanej przez niego kwoty w Kapitalizacji Funduszu do sumy Wkładów zadeklarowanych w Kapitalizacji Funduszu przez wszystkich Akcjonariuszy Uprawnionych i w terminie 30 dni od otrzymania pisemnego wezwania od Akcjonariusza Uprawnionego lub Podmiotu Zarządzającego. </w:t>
            </w:r>
          </w:p>
          <w:p w:rsidR="00A64A91" w:rsidRDefault="00A64A91" w:rsidP="00A64A91">
            <w:p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Zbywanie Instrumentów Finansowych przez Akcjonariuszy Funduszu Kapitałowego podlega ograniczeniom m.in. poprzez prawo pierwszeństwa nabycia Instrumentów Finansowych przez pozostałych Akcjonariuszy. </w:t>
            </w:r>
            <w:r>
              <w:rPr>
                <w:rFonts w:ascii="Tahoma" w:hAnsi="Tahoma" w:cs="Tahoma"/>
                <w:sz w:val="20"/>
              </w:rPr>
              <w:lastRenderedPageBreak/>
              <w:t>W</w:t>
            </w:r>
            <w:r w:rsidRPr="00A64A91">
              <w:rPr>
                <w:rFonts w:ascii="Tahoma" w:hAnsi="Tahoma" w:cs="Tahoma"/>
                <w:sz w:val="20"/>
              </w:rPr>
              <w:t xml:space="preserve"> przypadku gdy do zbycia Instrumentów Finansowych doszło z naruszeniem zasad </w:t>
            </w:r>
            <w:r>
              <w:rPr>
                <w:rFonts w:ascii="Tahoma" w:hAnsi="Tahoma" w:cs="Tahoma"/>
                <w:sz w:val="20"/>
              </w:rPr>
              <w:t>określonych w Umowie  to</w:t>
            </w:r>
            <w:r w:rsidRPr="00A64A91">
              <w:rPr>
                <w:rFonts w:ascii="Tahoma" w:hAnsi="Tahoma" w:cs="Tahoma"/>
                <w:sz w:val="20"/>
              </w:rPr>
              <w:t xml:space="preserve"> Akcjonariusz Zbywający zapłaci na rzecz pozostałych  Akcjonariuszy karę pieniężną w wysokości 50% ceny, po której Instrumenty Finansowe Zbywane zostały zbyte z naruszeniem Umowy, proporcjonalnie do dotychczas wniesionych Wkładów  przez pozostałych Akcjonariuszy; przy czym </w:t>
            </w:r>
            <w:r>
              <w:rPr>
                <w:rFonts w:ascii="Tahoma" w:hAnsi="Tahoma" w:cs="Tahoma"/>
                <w:sz w:val="20"/>
              </w:rPr>
              <w:t>Akcjonariusze zastrzegli</w:t>
            </w:r>
            <w:r w:rsidRPr="00A64A91">
              <w:rPr>
                <w:rFonts w:ascii="Tahoma" w:hAnsi="Tahoma" w:cs="Tahoma"/>
                <w:sz w:val="20"/>
              </w:rPr>
              <w:t xml:space="preserve"> sobie prawo do dochodzenia odszkodowania przewyższającego wysokość zastrzeżonej kary umownej</w:t>
            </w:r>
            <w:r>
              <w:rPr>
                <w:rFonts w:ascii="Tahoma" w:hAnsi="Tahoma" w:cs="Tahoma"/>
                <w:sz w:val="20"/>
              </w:rPr>
              <w:t>.</w:t>
            </w:r>
          </w:p>
          <w:p w:rsidR="00A64A91" w:rsidRDefault="00A64A91" w:rsidP="00A64A91">
            <w:p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Strony umowy zobowiązały się</w:t>
            </w:r>
            <w:r w:rsidR="000E5FB8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A64A91">
              <w:rPr>
                <w:rFonts w:ascii="Tahoma" w:hAnsi="Tahoma" w:cs="Tahoma"/>
                <w:sz w:val="20"/>
              </w:rPr>
              <w:t>że w okresie wykonywania niniejszej Umowy oraz w ciągu 5 lat od jej wygaśnięcia, zachowają w poufności wszelkie informacje dotyczące którejkolwiek z pozostałych Stron i ich podmiotów powiązanych, lub Funduszu Kapitałowego i Przedsiębiorców, w których Fundusz Kapitałowy dokonał lub zamierza dokonać inwestycji, a ponadto informacje o treści niniejszej Umowy oraz przebiegu jej wykonywania, uzyskane w związku z negocjowaniem, zawarciem i wykonaniem niniejszej Umowy lub w związku z planowaniem bądź realizowaniem Inwestycji Funduszu Kapitałowego (zwanych dalej: „Informacjami Poufnymi”).</w:t>
            </w:r>
          </w:p>
          <w:p w:rsidR="00E32B0A" w:rsidRDefault="00E32B0A" w:rsidP="00A64A91">
            <w:p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 w:rsidRPr="00E32B0A">
              <w:rPr>
                <w:rFonts w:ascii="Tahoma" w:hAnsi="Tahoma" w:cs="Tahoma"/>
                <w:sz w:val="20"/>
              </w:rPr>
              <w:t>W przypadku ujawnienia Informacji Poufnych,  Strona naruszająca ten obowiązek, zobowiązana będzie do zapłaty na rzecz Funduszu Kapitałowego kary umownej w wysokości 100.000,00 złotych. W przypadku gdyby w związku ujawnieniem Informacji Poufnych Fundusz Kapitałowy nie zrealizował Inwestycji lub wyjścia z Inwestycji, lub zrealizował Inwestycję lub wyjście z niej na warunkach znacząco mniej korzystnych niż spodziewane zanim doszło do ujawnienia Informacji Poufnej Strona naruszająca ten obowiązek, zobowiązana będzie do zapłaty na rzecz Funduszu Kapitałowego kary umownej w wysokości kwocie 1.000.000,00 złotych.  W przypadku, gdy osoba lub podmiot powiązany z Inwestorem lub Podmiotem Zarządzającym dokona inwestycji z wykorzystaniem Informacji Poufnej bez zgody Rady Nadzorczej Funduszu, Strona naruszająca ten obowiązek, zobowiązana będzie do zapłaty na rzecz Funduszu Kapitałowego kary umownej w wysokości 10-krotności wartości transakcji wykonanej z bezprawnym wykorzystaniem informacji poufnej przez osoby/podmioty powiązane z inwestorem lub podmiotem zarządzającym. Nie ogranicza to prawa Funduszu Kapitałowego do dochodzenia odszkodowania na ogólnych zasadach.</w:t>
            </w:r>
          </w:p>
          <w:p w:rsidR="00D72D35" w:rsidRPr="001A6E92" w:rsidRDefault="00D72D35" w:rsidP="00D72D35">
            <w:pPr>
              <w:numPr>
                <w:ilvl w:val="0"/>
                <w:numId w:val="6"/>
              </w:num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b/>
                <w:sz w:val="20"/>
              </w:rPr>
            </w:pPr>
            <w:r w:rsidRPr="001A6E92">
              <w:rPr>
                <w:rFonts w:ascii="Tahoma" w:hAnsi="Tahoma" w:cs="Tahoma"/>
                <w:b/>
                <w:sz w:val="20"/>
              </w:rPr>
              <w:t>Naruszanie warunków wpłat do Funduszu Kapitałowego</w:t>
            </w:r>
          </w:p>
          <w:p w:rsidR="002252F6" w:rsidRPr="002252F6" w:rsidRDefault="002252F6" w:rsidP="000E5FB8">
            <w:p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 w:rsidRPr="002252F6">
              <w:rPr>
                <w:rFonts w:ascii="Tahoma" w:hAnsi="Tahoma" w:cs="Tahoma"/>
                <w:sz w:val="20"/>
              </w:rPr>
              <w:t>Jeżeli w Okresie Inwestycyjnym Akcjonariusz nie dokona wpłat na Instrumenty Finansowe lub dokona wymaganej wpłaty w niepełnej wysokości („Akcjonariusz Naruszający”) w szczególności poprzez:</w:t>
            </w:r>
          </w:p>
          <w:p w:rsidR="002252F6" w:rsidRPr="002252F6" w:rsidRDefault="002252F6" w:rsidP="000E5FB8">
            <w:pPr>
              <w:numPr>
                <w:ilvl w:val="0"/>
                <w:numId w:val="18"/>
              </w:numPr>
              <w:shd w:val="clear" w:color="auto" w:fill="FFFFFF"/>
              <w:spacing w:before="240" w:after="200"/>
              <w:ind w:left="709" w:hanging="425"/>
              <w:jc w:val="both"/>
              <w:rPr>
                <w:rFonts w:ascii="Tahoma" w:hAnsi="Tahoma" w:cs="Tahoma"/>
                <w:sz w:val="20"/>
              </w:rPr>
            </w:pPr>
            <w:r w:rsidRPr="002252F6">
              <w:rPr>
                <w:rFonts w:ascii="Tahoma" w:hAnsi="Tahoma" w:cs="Tahoma"/>
                <w:sz w:val="20"/>
              </w:rPr>
              <w:t>nieobjęcie Instrumentów Kapitałowych  danej emisji/lub Instrumentów Dłużnych lub nie opłacenie Instrumentów Kapitałowych lub</w:t>
            </w:r>
            <w:r w:rsidR="00D72D35">
              <w:rPr>
                <w:rFonts w:ascii="Tahoma" w:hAnsi="Tahoma" w:cs="Tahoma"/>
                <w:sz w:val="20"/>
              </w:rPr>
              <w:t xml:space="preserve"> </w:t>
            </w:r>
            <w:r w:rsidRPr="002252F6">
              <w:rPr>
                <w:rFonts w:ascii="Tahoma" w:hAnsi="Tahoma" w:cs="Tahoma"/>
                <w:sz w:val="20"/>
              </w:rPr>
              <w:t xml:space="preserve">/Instrumentów Dłużnych w terminach i zgodnie z zasadami przewidzianymi w Umowie lub  w Uchwałach w przedmiocie wniesienia Wkładów, oraz </w:t>
            </w:r>
          </w:p>
          <w:p w:rsidR="002252F6" w:rsidRPr="002252F6" w:rsidRDefault="002252F6" w:rsidP="000E5FB8">
            <w:pPr>
              <w:numPr>
                <w:ilvl w:val="0"/>
                <w:numId w:val="18"/>
              </w:numPr>
              <w:shd w:val="clear" w:color="auto" w:fill="FFFFFF"/>
              <w:spacing w:before="240" w:after="200"/>
              <w:ind w:left="709" w:hanging="425"/>
              <w:jc w:val="both"/>
              <w:rPr>
                <w:rFonts w:ascii="Tahoma" w:hAnsi="Tahoma" w:cs="Tahoma"/>
                <w:sz w:val="20"/>
              </w:rPr>
            </w:pPr>
            <w:r w:rsidRPr="002252F6">
              <w:rPr>
                <w:rFonts w:ascii="Tahoma" w:hAnsi="Tahoma" w:cs="Tahoma"/>
                <w:sz w:val="20"/>
              </w:rPr>
              <w:t xml:space="preserve">nieusunięcie skutków takiego naruszenia w terminie kolejnych 20 Dni Roboczych, </w:t>
            </w:r>
          </w:p>
          <w:p w:rsidR="002252F6" w:rsidRPr="002252F6" w:rsidRDefault="002252F6" w:rsidP="000E5FB8">
            <w:p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 w:rsidRPr="002252F6">
              <w:rPr>
                <w:rFonts w:ascii="Tahoma" w:hAnsi="Tahoma" w:cs="Tahoma"/>
                <w:sz w:val="20"/>
              </w:rPr>
              <w:t>KFK lub Akcjonariusz dokonujący wpłaty zgodnie z postanowieniami Umowy („Akcjonariusz Wpłacający”) ma prawo wezwać takiego Akcjonariusza Naruszającego do sprzedaży wszystkich jego Instru</w:t>
            </w:r>
            <w:r w:rsidR="00D72D35">
              <w:rPr>
                <w:rFonts w:ascii="Tahoma" w:hAnsi="Tahoma" w:cs="Tahoma"/>
                <w:sz w:val="20"/>
              </w:rPr>
              <w:t>mentów Finansowych za cenę 1 zł</w:t>
            </w:r>
            <w:r w:rsidRPr="002252F6">
              <w:rPr>
                <w:rFonts w:ascii="Tahoma" w:hAnsi="Tahoma" w:cs="Tahoma"/>
                <w:sz w:val="20"/>
              </w:rPr>
              <w:t xml:space="preserve">, w terminie 14 dni od dnia otrzymania wezwania. </w:t>
            </w:r>
          </w:p>
          <w:p w:rsidR="002252F6" w:rsidRPr="002252F6" w:rsidRDefault="002252F6" w:rsidP="000E5FB8">
            <w:p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 w:rsidRPr="002252F6">
              <w:rPr>
                <w:rFonts w:ascii="Tahoma" w:hAnsi="Tahoma" w:cs="Tahoma"/>
                <w:sz w:val="20"/>
              </w:rPr>
              <w:t>Jeśli Akcjonariusz Wpłacający wezwie Akcjonariusza Naruszającego do sprzedaży Instrumentów Finansowych, wówczas sprzedaż nastąpi na rzecz każdego z Akcjonariuszy Wpłacających w procencie wyliczanym dla każdego z nich jako stosunek zadeklarowanej przez niego kwoty w Kapitalizacji Funduszu do sumy Wkładów zadeklarowanych w Kapitalizacji Funduszu przez wszystkich Akcjonariuszy Wpłacających.</w:t>
            </w:r>
          </w:p>
          <w:p w:rsidR="002252F6" w:rsidRDefault="002252F6" w:rsidP="000E5FB8">
            <w:p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 w:rsidRPr="002252F6">
              <w:rPr>
                <w:rFonts w:ascii="Tahoma" w:hAnsi="Tahoma" w:cs="Tahoma"/>
                <w:sz w:val="20"/>
              </w:rPr>
              <w:t>Jeżeli w razie podziału Instrumentów Finansowych powstanie nadwyżka, której nie można podzielić, będzie ona przysługiwała KFK, a w razie sprzedaży Instrumentów Finansowych należących do KFK, nadwyżka ta będzie przypadała Akcjonariuszowi Wpłacającemu, który uczestniczy w Kapitalizacji Funduszu w największej wysokości.</w:t>
            </w:r>
          </w:p>
          <w:p w:rsidR="002C0A81" w:rsidRDefault="002C0A81" w:rsidP="000E5FB8">
            <w:p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 w:rsidRPr="002C0A81">
              <w:rPr>
                <w:rFonts w:ascii="Tahoma" w:hAnsi="Tahoma" w:cs="Tahoma"/>
                <w:sz w:val="20"/>
              </w:rPr>
              <w:t xml:space="preserve">Tytułem zabezpieczenia należytego wykonania </w:t>
            </w:r>
            <w:r>
              <w:rPr>
                <w:rFonts w:ascii="Tahoma" w:hAnsi="Tahoma" w:cs="Tahoma"/>
                <w:sz w:val="20"/>
              </w:rPr>
              <w:t xml:space="preserve">powyższych </w:t>
            </w:r>
            <w:r w:rsidRPr="002C0A81">
              <w:rPr>
                <w:rFonts w:ascii="Tahoma" w:hAnsi="Tahoma" w:cs="Tahoma"/>
                <w:sz w:val="20"/>
              </w:rPr>
              <w:t>zobowiązań</w:t>
            </w:r>
            <w:r>
              <w:rPr>
                <w:rFonts w:ascii="Tahoma" w:hAnsi="Tahoma" w:cs="Tahoma"/>
                <w:sz w:val="20"/>
              </w:rPr>
              <w:t>, p</w:t>
            </w:r>
            <w:r w:rsidRPr="002C0A81">
              <w:rPr>
                <w:rFonts w:ascii="Tahoma" w:hAnsi="Tahoma" w:cs="Tahoma"/>
                <w:sz w:val="20"/>
              </w:rPr>
              <w:t xml:space="preserve">rzy pierwszym i każdym kolejnym podwyższeniu kapitału zakładowego Funduszu Kapitałowego Akcjonariusze złożą oświadczenia o </w:t>
            </w:r>
            <w:r w:rsidRPr="002C0A81">
              <w:rPr>
                <w:rFonts w:ascii="Tahoma" w:hAnsi="Tahoma" w:cs="Tahoma"/>
                <w:sz w:val="20"/>
              </w:rPr>
              <w:lastRenderedPageBreak/>
              <w:t xml:space="preserve">poddaniu się egzekucji co do wydania wszystkich posiadanych dokumentów Instrumentów Finansowych </w:t>
            </w:r>
            <w:r>
              <w:rPr>
                <w:rFonts w:ascii="Tahoma" w:hAnsi="Tahoma" w:cs="Tahoma"/>
                <w:sz w:val="20"/>
              </w:rPr>
              <w:t xml:space="preserve">w trybie art. 777 § 1 pkt 4 </w:t>
            </w:r>
            <w:proofErr w:type="spellStart"/>
            <w:r>
              <w:rPr>
                <w:rFonts w:ascii="Tahoma" w:hAnsi="Tahoma" w:cs="Tahoma"/>
                <w:sz w:val="20"/>
              </w:rPr>
              <w:t>kpc</w:t>
            </w:r>
            <w:proofErr w:type="spellEnd"/>
            <w:r>
              <w:rPr>
                <w:rFonts w:ascii="Tahoma" w:hAnsi="Tahoma" w:cs="Tahoma"/>
                <w:sz w:val="20"/>
              </w:rPr>
              <w:t>.</w:t>
            </w:r>
          </w:p>
          <w:p w:rsidR="002C0A81" w:rsidRPr="001A6E92" w:rsidRDefault="002C0A81" w:rsidP="002C0A81">
            <w:pPr>
              <w:numPr>
                <w:ilvl w:val="0"/>
                <w:numId w:val="6"/>
              </w:num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b/>
                <w:sz w:val="20"/>
              </w:rPr>
            </w:pPr>
            <w:r w:rsidRPr="001A6E92">
              <w:rPr>
                <w:rFonts w:ascii="Tahoma" w:hAnsi="Tahoma" w:cs="Tahoma"/>
                <w:b/>
                <w:sz w:val="20"/>
              </w:rPr>
              <w:t>Zarządzanie Funduszem Kapitałowym</w:t>
            </w:r>
          </w:p>
          <w:p w:rsidR="002C0A81" w:rsidRDefault="002C0A81" w:rsidP="000E5FB8">
            <w:p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Podmiotem zarządzającym Funduszem Kapitałowym będzie Life Fund Sp. z o.o. występujący w roli komplementariusza. Natomiast udziałowcami Life Fund Sp. z o.o. są DGA S.A., która posiada 74,9% udziału w kapitale zakładowym i głosach oraz Jagiellońskie Centrum Innowa</w:t>
            </w:r>
            <w:r w:rsidR="00633A33">
              <w:rPr>
                <w:rFonts w:ascii="Tahoma" w:hAnsi="Tahoma" w:cs="Tahoma"/>
                <w:sz w:val="20"/>
              </w:rPr>
              <w:t>cji Sp. z o.o., która posiada 25</w:t>
            </w:r>
            <w:r>
              <w:rPr>
                <w:rFonts w:ascii="Tahoma" w:hAnsi="Tahoma" w:cs="Tahoma"/>
                <w:sz w:val="20"/>
              </w:rPr>
              <w:t>,1% udział w kapitale i głosach.</w:t>
            </w:r>
          </w:p>
          <w:p w:rsidR="002C0A81" w:rsidRDefault="00C66C47" w:rsidP="000E5FB8">
            <w:p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 w:rsidRPr="00C66C47">
              <w:rPr>
                <w:rFonts w:ascii="Tahoma" w:hAnsi="Tahoma" w:cs="Tahoma"/>
                <w:sz w:val="20"/>
              </w:rPr>
              <w:t>Kompetencje w zakresie łączenia wyspecjalizowanej wiedzy naukowej z biznesem będą zapewnione przez współpracę funduszu z najlepszymi uczelniami wyższymi w Polsce, przede wszystkim z Uniwersytetem Jagielloński</w:t>
            </w:r>
            <w:r>
              <w:rPr>
                <w:rFonts w:ascii="Tahoma" w:hAnsi="Tahoma" w:cs="Tahoma"/>
                <w:sz w:val="20"/>
              </w:rPr>
              <w:t>m</w:t>
            </w:r>
            <w:r w:rsidRPr="00C66C47">
              <w:rPr>
                <w:rFonts w:ascii="Tahoma" w:hAnsi="Tahoma" w:cs="Tahoma"/>
                <w:sz w:val="20"/>
              </w:rPr>
              <w:t xml:space="preserve"> oraz Uniwersytetem im. Adama Mickiewicza w Poznaniu, jak również z innymi ośrodkami naukowymi. </w:t>
            </w:r>
          </w:p>
          <w:p w:rsidR="00C66C47" w:rsidRDefault="00C66C47" w:rsidP="000E5FB8">
            <w:p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 w:rsidRPr="00C66C47">
              <w:rPr>
                <w:rFonts w:ascii="Tahoma" w:eastAsia="Calibri" w:hAnsi="Tahoma" w:cs="Tahoma"/>
                <w:sz w:val="20"/>
                <w:lang w:eastAsia="en-US"/>
              </w:rPr>
              <w:t>Jagiellońskie Centrum Innowacji Sp. z o.o.</w:t>
            </w:r>
            <w:r w:rsidR="003D7FFD">
              <w:rPr>
                <w:rFonts w:ascii="Tahoma" w:eastAsia="Calibri" w:hAnsi="Tahoma" w:cs="Tahoma"/>
                <w:sz w:val="20"/>
                <w:lang w:eastAsia="en-US"/>
              </w:rPr>
              <w:t>, którego jedynym udziałowcem jest Uniwersytet Jagielloński</w:t>
            </w:r>
            <w:r w:rsidRPr="001F0911">
              <w:rPr>
                <w:rFonts w:ascii="Tahoma" w:eastAsia="Calibri" w:hAnsi="Tahoma" w:cs="Tahoma"/>
                <w:sz w:val="20"/>
                <w:lang w:eastAsia="en-US"/>
              </w:rPr>
              <w:t xml:space="preserve"> – to podmiot zarządzający Parkiem </w:t>
            </w:r>
            <w:proofErr w:type="spellStart"/>
            <w:r w:rsidRPr="001F0911">
              <w:rPr>
                <w:rFonts w:ascii="Tahoma" w:eastAsia="Calibri" w:hAnsi="Tahoma" w:cs="Tahoma"/>
                <w:sz w:val="20"/>
                <w:lang w:eastAsia="en-US"/>
              </w:rPr>
              <w:t>LifeScience</w:t>
            </w:r>
            <w:proofErr w:type="spellEnd"/>
            <w:r w:rsidRPr="001F0911">
              <w:rPr>
                <w:rFonts w:ascii="Tahoma" w:eastAsia="Calibri" w:hAnsi="Tahoma" w:cs="Tahoma"/>
                <w:sz w:val="20"/>
                <w:lang w:eastAsia="en-US"/>
              </w:rPr>
              <w:t xml:space="preserve"> w Krakowie, usprawniający współpracę firm i instytucji działających w sektorze life science na terenie kraju i regionu Małopolski. Spółka oferuje również usługi uwzględniające wykorzystanie zasobów Uniwersytetu Jagiellońskiego, a także działa aktywnie w obszarze inwestycji kapitałowych, inwestując w innowacyjne projekty i firmy.</w:t>
            </w:r>
          </w:p>
          <w:p w:rsidR="002C0A81" w:rsidRDefault="00121F4B" w:rsidP="00121F4B">
            <w:pPr>
              <w:numPr>
                <w:ilvl w:val="0"/>
                <w:numId w:val="6"/>
              </w:num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b/>
                <w:sz w:val="20"/>
              </w:rPr>
            </w:pPr>
            <w:r w:rsidRPr="00121F4B">
              <w:rPr>
                <w:rFonts w:ascii="Tahoma" w:hAnsi="Tahoma" w:cs="Tahoma"/>
                <w:b/>
                <w:sz w:val="20"/>
              </w:rPr>
              <w:t xml:space="preserve">Minimalna stopa zwrotu oraz </w:t>
            </w:r>
            <w:r w:rsidR="00E55811">
              <w:rPr>
                <w:rFonts w:ascii="Tahoma" w:hAnsi="Tahoma" w:cs="Tahoma"/>
                <w:b/>
                <w:sz w:val="20"/>
              </w:rPr>
              <w:t>zakończenie działalności</w:t>
            </w:r>
            <w:r w:rsidRPr="00121F4B">
              <w:rPr>
                <w:rFonts w:ascii="Tahoma" w:hAnsi="Tahoma" w:cs="Tahoma"/>
                <w:b/>
                <w:sz w:val="20"/>
              </w:rPr>
              <w:t xml:space="preserve"> Funduszu Kapitałowego</w:t>
            </w:r>
          </w:p>
          <w:p w:rsidR="00121F4B" w:rsidRDefault="007A74ED" w:rsidP="007A74ED">
            <w:p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umowie określono Minimalną</w:t>
            </w:r>
            <w:r w:rsidRPr="007A74ED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Stopę</w:t>
            </w:r>
            <w:r w:rsidRPr="007A74ED">
              <w:rPr>
                <w:rFonts w:ascii="Tahoma" w:hAnsi="Tahoma" w:cs="Tahoma"/>
                <w:sz w:val="20"/>
              </w:rPr>
              <w:t xml:space="preserve"> Zwrotu Netto</w:t>
            </w:r>
            <w:r w:rsidR="00E55811">
              <w:rPr>
                <w:rFonts w:ascii="Tahoma" w:hAnsi="Tahoma" w:cs="Tahoma"/>
                <w:sz w:val="20"/>
              </w:rPr>
              <w:t xml:space="preserve"> w wysokości 6,7%</w:t>
            </w:r>
            <w:r>
              <w:rPr>
                <w:rFonts w:ascii="Tahoma" w:hAnsi="Tahoma" w:cs="Tahoma"/>
                <w:sz w:val="20"/>
              </w:rPr>
              <w:t xml:space="preserve">, która </w:t>
            </w:r>
            <w:r w:rsidRPr="007A74ED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 xml:space="preserve">oznacza </w:t>
            </w:r>
            <w:r w:rsidRPr="00121F4B">
              <w:rPr>
                <w:rFonts w:ascii="Tahoma" w:hAnsi="Tahoma" w:cs="Tahoma"/>
                <w:sz w:val="20"/>
              </w:rPr>
              <w:t xml:space="preserve">roczną wewnętrzną stopę zwrotu netto ze zrealizowanych Inwestycji wygenerowaną dla Inwestora </w:t>
            </w:r>
            <w:r w:rsidR="00E55811">
              <w:rPr>
                <w:rFonts w:ascii="Tahoma" w:hAnsi="Tahoma" w:cs="Tahoma"/>
                <w:sz w:val="20"/>
              </w:rPr>
              <w:t>i KFK przez Fundusz Kapitałowy.</w:t>
            </w:r>
          </w:p>
          <w:p w:rsidR="00E55811" w:rsidRDefault="00E55811" w:rsidP="007A74ED">
            <w:p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Środki pochodzące z zakończenia inwestycji będą wypłacane w następujący sposób:</w:t>
            </w:r>
          </w:p>
          <w:p w:rsidR="00B41E3C" w:rsidRDefault="00B41E3C" w:rsidP="00E55811">
            <w:pPr>
              <w:numPr>
                <w:ilvl w:val="0"/>
                <w:numId w:val="23"/>
              </w:num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 w:rsidRPr="00B41E3C">
              <w:rPr>
                <w:rFonts w:ascii="Tahoma" w:hAnsi="Tahoma" w:cs="Tahoma"/>
                <w:sz w:val="20"/>
              </w:rPr>
              <w:t xml:space="preserve">w </w:t>
            </w:r>
            <w:r w:rsidR="00E55811" w:rsidRPr="00B41E3C">
              <w:rPr>
                <w:rFonts w:ascii="Tahoma" w:hAnsi="Tahoma" w:cs="Tahoma"/>
                <w:sz w:val="20"/>
              </w:rPr>
              <w:t>pierwszej kolejności na rzecz KFK do wysokości łącznej wartości nominalnej wszystkich Instrumentów Dłużnych powiększonej o należną premię. Wysokość premii to oprocentowanie roczne (kapitalizowane półrocznie) w wysokości 7% wartości nominalnej dane</w:t>
            </w:r>
            <w:r w:rsidRPr="00B41E3C">
              <w:rPr>
                <w:rFonts w:ascii="Tahoma" w:hAnsi="Tahoma" w:cs="Tahoma"/>
                <w:sz w:val="20"/>
              </w:rPr>
              <w:t>j emisji Instrumentów Dłu</w:t>
            </w:r>
            <w:r>
              <w:rPr>
                <w:rFonts w:ascii="Tahoma" w:hAnsi="Tahoma" w:cs="Tahoma"/>
                <w:sz w:val="20"/>
              </w:rPr>
              <w:t xml:space="preserve">żnych. </w:t>
            </w:r>
          </w:p>
          <w:p w:rsidR="00E55811" w:rsidRPr="00B41E3C" w:rsidRDefault="00B41E3C" w:rsidP="00E55811">
            <w:pPr>
              <w:numPr>
                <w:ilvl w:val="0"/>
                <w:numId w:val="23"/>
              </w:num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 w:rsidRPr="00B41E3C">
              <w:rPr>
                <w:rFonts w:ascii="Tahoma" w:hAnsi="Tahoma" w:cs="Tahoma"/>
                <w:sz w:val="20"/>
              </w:rPr>
              <w:t xml:space="preserve">w przypadku </w:t>
            </w:r>
            <w:r w:rsidR="00E55811" w:rsidRPr="00B41E3C">
              <w:rPr>
                <w:rFonts w:ascii="Tahoma" w:hAnsi="Tahoma" w:cs="Tahoma"/>
                <w:sz w:val="20"/>
              </w:rPr>
              <w:t>Instrumentów Kapitałowych</w:t>
            </w:r>
            <w:r>
              <w:rPr>
                <w:rFonts w:ascii="Tahoma" w:hAnsi="Tahoma" w:cs="Tahoma"/>
                <w:sz w:val="20"/>
              </w:rPr>
              <w:t xml:space="preserve"> wypłaty środków następują poprzez umorzenie Instrumentów Kapitałowych w następującej kolejności:</w:t>
            </w:r>
          </w:p>
          <w:p w:rsidR="00E55811" w:rsidRPr="00E55811" w:rsidRDefault="00B41E3C" w:rsidP="00B41E3C">
            <w:pPr>
              <w:numPr>
                <w:ilvl w:val="0"/>
                <w:numId w:val="24"/>
              </w:num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</w:t>
            </w:r>
            <w:r w:rsidR="00E55811" w:rsidRPr="00E55811">
              <w:rPr>
                <w:rFonts w:ascii="Tahoma" w:hAnsi="Tahoma" w:cs="Tahoma"/>
                <w:sz w:val="20"/>
              </w:rPr>
              <w:t xml:space="preserve"> pierwszej kolejności Inwestorom, aż do momentu otrzymania kwot równych dokonanym wpłatom pieniężnym na objęcie Instrumentów Kapitałowych, co do których następuje zwrot;</w:t>
            </w:r>
          </w:p>
          <w:p w:rsidR="00E55811" w:rsidRPr="00E55811" w:rsidRDefault="00B41E3C" w:rsidP="00B41E3C">
            <w:pPr>
              <w:numPr>
                <w:ilvl w:val="0"/>
                <w:numId w:val="24"/>
              </w:num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</w:t>
            </w:r>
            <w:r w:rsidR="00E55811" w:rsidRPr="00E55811">
              <w:rPr>
                <w:rFonts w:ascii="Tahoma" w:hAnsi="Tahoma" w:cs="Tahoma"/>
                <w:sz w:val="20"/>
              </w:rPr>
              <w:t xml:space="preserve"> drugiej kolejności KFK, aż do momentu otrzymania kwot równych dokonanym wpłatom pieniężnym na objęcie Instrumentów Kapitałowych, co do których następuje zwrot;</w:t>
            </w:r>
          </w:p>
          <w:p w:rsidR="00E55811" w:rsidRPr="00E55811" w:rsidRDefault="00E55811" w:rsidP="00B41E3C">
            <w:pPr>
              <w:numPr>
                <w:ilvl w:val="0"/>
                <w:numId w:val="24"/>
              </w:num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 w:rsidRPr="00E55811">
              <w:rPr>
                <w:rFonts w:ascii="Tahoma" w:hAnsi="Tahoma" w:cs="Tahoma"/>
                <w:sz w:val="20"/>
              </w:rPr>
              <w:t>w trzeciej kolejności Inwestorom, aż do momentu otrzymania Minimalnej Stopy Zwrotu Netto;</w:t>
            </w:r>
          </w:p>
          <w:p w:rsidR="00E55811" w:rsidRPr="00E55811" w:rsidRDefault="00B41E3C" w:rsidP="00B41E3C">
            <w:pPr>
              <w:numPr>
                <w:ilvl w:val="0"/>
                <w:numId w:val="24"/>
              </w:num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</w:t>
            </w:r>
            <w:r w:rsidR="00E55811" w:rsidRPr="00E55811">
              <w:rPr>
                <w:rFonts w:ascii="Tahoma" w:hAnsi="Tahoma" w:cs="Tahoma"/>
                <w:sz w:val="20"/>
              </w:rPr>
              <w:t xml:space="preserve"> czwartej kolejności KFK, aż do momentu otrzymania Minimalnej Stopy Zwrotu Netto.</w:t>
            </w:r>
          </w:p>
          <w:p w:rsidR="00E55811" w:rsidRPr="00E55811" w:rsidRDefault="00E55811" w:rsidP="00E55811">
            <w:p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 w:rsidRPr="00E55811">
              <w:rPr>
                <w:rFonts w:ascii="Tahoma" w:hAnsi="Tahoma" w:cs="Tahoma"/>
                <w:sz w:val="20"/>
              </w:rPr>
              <w:t xml:space="preserve">Środki pochodzące z zakończenia Inwestycji, które pozostaną po dokonaniu rozliczeń opisanych </w:t>
            </w:r>
            <w:r w:rsidR="00B41E3C">
              <w:rPr>
                <w:rFonts w:ascii="Tahoma" w:hAnsi="Tahoma" w:cs="Tahoma"/>
                <w:sz w:val="20"/>
              </w:rPr>
              <w:t>powyżej</w:t>
            </w:r>
            <w:r w:rsidRPr="00E55811">
              <w:rPr>
                <w:rFonts w:ascii="Tahoma" w:hAnsi="Tahoma" w:cs="Tahoma"/>
                <w:sz w:val="20"/>
              </w:rPr>
              <w:t>, stanowią rezerwę Funduszu Kapitałowego w wysokości różnicy pomiędzy maksymalną dla danego poziomu docelowej Kapitalizacji Funduszu kwotą Opłaty za Zarządzanie, a kwotą dotychczas wydatkowaną w celu pokrycia Opłaty za Zarządzanie, liczoną do przewidywanej daty zakończenia działalności Funduszu Kapitałowego</w:t>
            </w:r>
            <w:r w:rsidR="00B41E3C">
              <w:rPr>
                <w:rFonts w:ascii="Tahoma" w:hAnsi="Tahoma" w:cs="Tahoma"/>
                <w:sz w:val="20"/>
              </w:rPr>
              <w:t>.</w:t>
            </w:r>
            <w:r w:rsidRPr="00E55811">
              <w:rPr>
                <w:rFonts w:ascii="Tahoma" w:hAnsi="Tahoma" w:cs="Tahoma"/>
                <w:sz w:val="20"/>
              </w:rPr>
              <w:t xml:space="preserve"> </w:t>
            </w:r>
          </w:p>
          <w:p w:rsidR="00121F4B" w:rsidRDefault="00E55811" w:rsidP="00121F4B">
            <w:p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</w:rPr>
            </w:pPr>
            <w:r w:rsidRPr="00E55811">
              <w:rPr>
                <w:rFonts w:ascii="Tahoma" w:hAnsi="Tahoma" w:cs="Tahoma"/>
                <w:sz w:val="20"/>
              </w:rPr>
              <w:t>Środki stanowiące nadwyżkę w stosunku do Rezerwy są dzielone pomiędzy Inwestorów i KFK stosownie do posiadanych udziałów w zysku Funduszu Kapitałowego oraz Podmiot Zarządzający tytułem Procentowego Wynagrodzenia Dodatkowego.</w:t>
            </w:r>
          </w:p>
          <w:p w:rsidR="00CC513A" w:rsidRPr="009B39F8" w:rsidRDefault="009B39F8" w:rsidP="00121F4B">
            <w:pPr>
              <w:shd w:val="clear" w:color="auto" w:fill="FFFFFF"/>
              <w:spacing w:before="240" w:after="200"/>
              <w:jc w:val="both"/>
              <w:rPr>
                <w:rFonts w:ascii="Tahoma" w:hAnsi="Tahoma" w:cs="Tahoma"/>
                <w:sz w:val="20"/>
                <w:u w:val="single"/>
              </w:rPr>
            </w:pPr>
            <w:r w:rsidRPr="009B39F8">
              <w:rPr>
                <w:rFonts w:ascii="Tahoma" w:hAnsi="Tahoma" w:cs="Tahoma"/>
                <w:sz w:val="20"/>
                <w:u w:val="single"/>
              </w:rPr>
              <w:lastRenderedPageBreak/>
              <w:t>Powyższy mechanizm wypłat środków z Instrumentów Kapitałowych po zakończonych inwestycjach stanowią istotne ograniczenie ryzyka inwestycyjnego po stronie Inwestorów (w tym DGA S.A.).</w:t>
            </w:r>
          </w:p>
          <w:p w:rsidR="009B39F8" w:rsidRDefault="009B39F8" w:rsidP="007D64B1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2D0FA6" w:rsidRDefault="0058124B" w:rsidP="007D64B1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Pozostałe warunki nie odbiegają od powszechnie stosowanych dla tego typu umów.</w:t>
            </w:r>
          </w:p>
          <w:p w:rsidR="002D0FA6" w:rsidRDefault="002D0FA6" w:rsidP="007D64B1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  <w:p w:rsidR="0058124B" w:rsidRDefault="0058124B" w:rsidP="007D64B1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Umow</w:t>
            </w:r>
            <w:r w:rsidR="00766EC0">
              <w:rPr>
                <w:rFonts w:ascii="Tahoma" w:hAnsi="Tahoma" w:cs="Tahoma"/>
                <w:sz w:val="20"/>
              </w:rPr>
              <w:t>a</w:t>
            </w:r>
            <w:r>
              <w:rPr>
                <w:rFonts w:ascii="Tahoma" w:hAnsi="Tahoma" w:cs="Tahoma"/>
                <w:sz w:val="20"/>
              </w:rPr>
              <w:t xml:space="preserve"> został</w:t>
            </w:r>
            <w:r w:rsidR="00766EC0">
              <w:rPr>
                <w:rFonts w:ascii="Tahoma" w:hAnsi="Tahoma" w:cs="Tahoma"/>
                <w:sz w:val="20"/>
              </w:rPr>
              <w:t>a</w:t>
            </w:r>
            <w:r>
              <w:rPr>
                <w:rFonts w:ascii="Tahoma" w:hAnsi="Tahoma" w:cs="Tahoma"/>
                <w:sz w:val="20"/>
              </w:rPr>
              <w:t xml:space="preserve"> uznan</w:t>
            </w:r>
            <w:r w:rsidR="00766EC0">
              <w:rPr>
                <w:rFonts w:ascii="Tahoma" w:hAnsi="Tahoma" w:cs="Tahoma"/>
                <w:sz w:val="20"/>
              </w:rPr>
              <w:t>a</w:t>
            </w:r>
            <w:r>
              <w:rPr>
                <w:rFonts w:ascii="Tahoma" w:hAnsi="Tahoma" w:cs="Tahoma"/>
                <w:sz w:val="20"/>
              </w:rPr>
              <w:t xml:space="preserve"> za znacząc</w:t>
            </w:r>
            <w:r w:rsidR="00766EC0">
              <w:rPr>
                <w:rFonts w:ascii="Tahoma" w:hAnsi="Tahoma" w:cs="Tahoma"/>
                <w:sz w:val="20"/>
              </w:rPr>
              <w:t>ą</w:t>
            </w:r>
            <w:r>
              <w:rPr>
                <w:rFonts w:ascii="Tahoma" w:hAnsi="Tahoma" w:cs="Tahoma"/>
                <w:sz w:val="20"/>
              </w:rPr>
              <w:t xml:space="preserve"> ze względu na </w:t>
            </w:r>
            <w:r w:rsidR="00766EC0">
              <w:rPr>
                <w:rFonts w:ascii="Tahoma" w:hAnsi="Tahoma" w:cs="Tahoma"/>
                <w:sz w:val="20"/>
              </w:rPr>
              <w:t>jej</w:t>
            </w:r>
            <w:r>
              <w:rPr>
                <w:rFonts w:ascii="Tahoma" w:hAnsi="Tahoma" w:cs="Tahoma"/>
                <w:sz w:val="20"/>
              </w:rPr>
              <w:t xml:space="preserve"> wartość, która przekracza 10% kapitałów własnych </w:t>
            </w:r>
            <w:r w:rsidR="009B5BE9">
              <w:rPr>
                <w:rFonts w:ascii="Tahoma" w:hAnsi="Tahoma" w:cs="Tahoma"/>
                <w:sz w:val="20"/>
              </w:rPr>
              <w:t>DGA</w:t>
            </w:r>
            <w:r w:rsidR="00CF5D17">
              <w:rPr>
                <w:rFonts w:ascii="Tahoma" w:hAnsi="Tahoma" w:cs="Tahoma"/>
                <w:sz w:val="20"/>
              </w:rPr>
              <w:t xml:space="preserve"> S.A</w:t>
            </w:r>
            <w:r w:rsidR="009B5BE9">
              <w:rPr>
                <w:rFonts w:ascii="Tahoma" w:hAnsi="Tahoma" w:cs="Tahoma"/>
                <w:sz w:val="20"/>
              </w:rPr>
              <w:t>.</w:t>
            </w:r>
          </w:p>
          <w:p w:rsidR="00B474E2" w:rsidRPr="0053552F" w:rsidRDefault="00B474E2" w:rsidP="007D64B1">
            <w:pPr>
              <w:ind w:right="72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0A2E5E" w:rsidRPr="00AF2262" w:rsidTr="00391C4A">
        <w:trPr>
          <w:trHeight w:val="419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0A2E5E" w:rsidRPr="00AF2262" w:rsidRDefault="000A2E5E" w:rsidP="007D64B1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lastRenderedPageBreak/>
              <w:t>Podstawa prawna:</w:t>
            </w:r>
          </w:p>
        </w:tc>
      </w:tr>
      <w:tr w:rsidR="000A2E5E" w:rsidRPr="00AF2262" w:rsidTr="00F43536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0A2E5E" w:rsidRPr="00A837A7" w:rsidRDefault="002157DC" w:rsidP="007D64B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0A2E5E" w:rsidRPr="00AF2262" w:rsidTr="00F43536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0A2E5E" w:rsidRPr="00AF2262" w:rsidRDefault="000A2E5E" w:rsidP="007D64B1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0A2E5E" w:rsidRPr="00AF2262" w:rsidTr="00391C4A">
        <w:trPr>
          <w:trHeight w:val="706"/>
        </w:trPr>
        <w:tc>
          <w:tcPr>
            <w:tcW w:w="9648" w:type="dxa"/>
            <w:gridSpan w:val="2"/>
          </w:tcPr>
          <w:p w:rsidR="000A2E5E" w:rsidRPr="00AF2262" w:rsidRDefault="000A2E5E" w:rsidP="007D64B1">
            <w:pPr>
              <w:rPr>
                <w:rFonts w:ascii="Tahoma" w:hAnsi="Tahoma" w:cs="Tahoma"/>
                <w:b/>
                <w:sz w:val="20"/>
              </w:rPr>
            </w:pPr>
          </w:p>
          <w:p w:rsidR="002157DC" w:rsidRDefault="000A2E5E" w:rsidP="002157DC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0E083A">
              <w:rPr>
                <w:rFonts w:ascii="Tahoma" w:hAnsi="Tahoma" w:cs="Tahoma"/>
                <w:b/>
                <w:sz w:val="20"/>
              </w:rPr>
              <w:t>Anna Szymańska</w:t>
            </w:r>
          </w:p>
          <w:p w:rsidR="002157DC" w:rsidRDefault="002157DC" w:rsidP="002157DC">
            <w:pPr>
              <w:rPr>
                <w:rFonts w:ascii="Tahoma" w:hAnsi="Tahoma" w:cs="Tahoma"/>
                <w:b/>
                <w:sz w:val="20"/>
              </w:rPr>
            </w:pPr>
          </w:p>
          <w:p w:rsidR="002157DC" w:rsidRDefault="002157DC" w:rsidP="002157DC">
            <w:pPr>
              <w:rPr>
                <w:rFonts w:ascii="Tahoma" w:hAnsi="Tahoma" w:cs="Tahoma"/>
                <w:b/>
                <w:sz w:val="20"/>
              </w:rPr>
            </w:pPr>
          </w:p>
          <w:p w:rsidR="000A2E5E" w:rsidRPr="00AF2262" w:rsidRDefault="000E083A" w:rsidP="000E083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</w:t>
            </w:r>
            <w:bookmarkStart w:id="0" w:name="_GoBack"/>
            <w:bookmarkEnd w:id="0"/>
            <w:r>
              <w:rPr>
                <w:rFonts w:ascii="Tahoma" w:hAnsi="Tahoma" w:cs="Tahoma"/>
                <w:b/>
                <w:sz w:val="20"/>
              </w:rPr>
              <w:t>Wicep</w:t>
            </w:r>
            <w:r w:rsidR="002157DC">
              <w:rPr>
                <w:rFonts w:ascii="Tahoma" w:hAnsi="Tahoma" w:cs="Tahoma"/>
                <w:b/>
                <w:sz w:val="20"/>
              </w:rPr>
              <w:t>rezes Zarządu</w:t>
            </w:r>
            <w:r w:rsidR="000A2E5E" w:rsidRPr="00AF2262">
              <w:rPr>
                <w:rFonts w:ascii="Tahoma" w:hAnsi="Tahoma" w:cs="Tahoma"/>
                <w:b/>
                <w:sz w:val="20"/>
              </w:rPr>
              <w:tab/>
            </w:r>
          </w:p>
        </w:tc>
      </w:tr>
    </w:tbl>
    <w:p w:rsidR="003659F5" w:rsidRPr="00DB5BA8" w:rsidRDefault="003659F5" w:rsidP="007D64B1">
      <w:pPr>
        <w:rPr>
          <w:rFonts w:ascii="Tahoma" w:hAnsi="Tahoma"/>
          <w:sz w:val="20"/>
        </w:rPr>
      </w:pPr>
    </w:p>
    <w:sectPr w:rsidR="003659F5" w:rsidRPr="00DB5BA8" w:rsidSect="007140B9">
      <w:footerReference w:type="default" r:id="rId9"/>
      <w:headerReference w:type="first" r:id="rId10"/>
      <w:footerReference w:type="first" r:id="rId11"/>
      <w:pgSz w:w="11906" w:h="16838" w:code="9"/>
      <w:pgMar w:top="1418" w:right="1162" w:bottom="1418" w:left="1162" w:header="510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807" w:rsidRDefault="00C45807">
      <w:r>
        <w:separator/>
      </w:r>
    </w:p>
  </w:endnote>
  <w:endnote w:type="continuationSeparator" w:id="0">
    <w:p w:rsidR="00C45807" w:rsidRDefault="00C45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FB8" w:rsidRDefault="00CE2C13">
    <w:pPr>
      <w:pStyle w:val="Stopka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-422910</wp:posOffset>
          </wp:positionV>
          <wp:extent cx="6411595" cy="1169670"/>
          <wp:effectExtent l="0" t="0" r="8255" b="0"/>
          <wp:wrapNone/>
          <wp:docPr id="5" name="Obraz 5" descr="stopka-kontynu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topka-kontynuacj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1595" cy="1169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FB8" w:rsidRPr="00C64F4A" w:rsidRDefault="00CE2C13" w:rsidP="005355AA">
    <w:pPr>
      <w:pStyle w:val="Stopka"/>
      <w:jc w:val="both"/>
      <w:rPr>
        <w:sz w:val="20"/>
      </w:rPr>
    </w:pPr>
    <w:r>
      <w:rPr>
        <w:noProof/>
        <w:sz w:val="8"/>
        <w:szCs w:val="16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81280</wp:posOffset>
              </wp:positionH>
              <wp:positionV relativeFrom="paragraph">
                <wp:posOffset>69215</wp:posOffset>
              </wp:positionV>
              <wp:extent cx="6084570" cy="394970"/>
              <wp:effectExtent l="0" t="2540" r="0" b="254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84570" cy="3949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E5FB8" w:rsidRPr="005355AA" w:rsidRDefault="00CE2C1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>
                                <wp:extent cx="5915025" cy="304800"/>
                                <wp:effectExtent l="0" t="0" r="9525" b="0"/>
                                <wp:docPr id="3" name="Obraz 1" descr="stopka z DG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stopka z DG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t="24113" b="45964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915025" cy="3048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.4pt;margin-top:5.45pt;width:479.1pt;height:31.1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PYOrQIAALcFAAAOAAAAZHJzL2Uyb0RvYy54bWysVNtunDAQfa/Uf7D8TrjEuwEUNtosS1Up&#10;vUhJP8ALZrEKNrKdhbTKv3ds9pZElaq2PCDbMz4zZ+Z4rm/GrkU7pjSXIsPhRYARE6WsuNhm+NtD&#10;4cUYaUNFRVspWIafmMY3i/fvroc+ZZFsZFsxhQBE6HToM9wY06e+r8uGdVRfyJ4JMNZSddTAVm39&#10;StEB0LvWj4Jg7g9SVb2SJdMaTvPJiBcOv65Zab7UtWYGtRmG3Iz7K/ff2L+/uKbpVtG+4eU+DfoX&#10;WXSUCwh6hMqpoehR8TdQHS+V1LI2F6XsfFnXvGSOA7AJg1ds7hvaM8cFiqP7Y5n0/4MtP+++KsQr&#10;6B1GgnbQogc2GnQrR0RsdYZep+B034ObGeHYelqmur+T5XeNhFw1VGzZUik5NIxWkF1ob/pnVycc&#10;bUE2wydZQRj6aKQDGmvVWUAoBgJ06NLTsTM2lRIO50FMZldgKsF2mZAE1jYETQ+3e6XNByY7ZBcZ&#10;VtB5h053d9pMrgcXG0zIgrctnNO0FS8OAHM6gdhw1dpsFq6ZP5MgWcfrmHgkmq89EuS5tyxWxJsX&#10;4dUsv8xXqzx8tnFDkja8qpiwYQ7CCsmfNW4v8UkSR2lp2fLKwtmUtNpuVq1COwrCLty3L8iZm/8y&#10;DVcv4PKKUhiR4DZKvGIeX3mkIDMPqht7QZjcJvOAJCQvXlK644L9OyU0ZDiZRbNJTL/lFrjvLTea&#10;dtzA6Gh5l+H46ERTK8G1qFxrDeXttD4rhU3/VApo96HRTrBWo5NazbgZAcWqeCOrJ5CukqAsECHM&#10;O1g0Uv3AaIDZkWEBww2j9qMA8SchIXbUuA2oNoKNOrdszi1UlACUYYPRtFyZaTw99opvG4hzeG5L&#10;eDAFd1o+5bR/ZjAdHKX9JLPj53zvvE7zdvELAAD//wMAUEsDBBQABgAIAAAAIQBBF0CQ3AAAAAgB&#10;AAAPAAAAZHJzL2Rvd25yZXYueG1sTI/NTsMwEITvSLyDtUjcqJ3w0ybEqVCBM6XwAG68xCHxOord&#10;NvD0LCc4rUYzmv2mWs9+EEecYhdIQ7ZQIJCaYDtqNby/PV+tQMRkyJohEGr4wgjr+vysMqUNJ3rF&#10;4y61gksolkaDS2kspYyNQ2/iIoxI7H2EyZvEcmqlncyJy/0gc6XupDcd8QdnRtw4bPrdwWtYKf/S&#10;90W+jf7mO7t1m8fwNH5qfXkxP9yDSDinvzD84jM61My0DweyUQyscyZPfFUBgv1imfG2vYbldQay&#10;ruT/AfUPAAAA//8DAFBLAQItABQABgAIAAAAIQC2gziS/gAAAOEBAAATAAAAAAAAAAAAAAAAAAAA&#10;AABbQ29udGVudF9UeXBlc10ueG1sUEsBAi0AFAAGAAgAAAAhADj9If/WAAAAlAEAAAsAAAAAAAAA&#10;AAAAAAAALwEAAF9yZWxzLy5yZWxzUEsBAi0AFAAGAAgAAAAhALDk9g6tAgAAtwUAAA4AAAAAAAAA&#10;AAAAAAAALgIAAGRycy9lMm9Eb2MueG1sUEsBAi0AFAAGAAgAAAAhAEEXQJDcAAAACAEAAA8AAAAA&#10;AAAAAAAAAAAABwUAAGRycy9kb3ducmV2LnhtbFBLBQYAAAAABAAEAPMAAAAQBgAAAAA=&#10;" filled="f" stroked="f">
              <v:textbox style="mso-fit-shape-to-text:t">
                <w:txbxContent>
                  <w:p w:rsidR="000E5FB8" w:rsidRPr="005355AA" w:rsidRDefault="00CE2C13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noProof/>
                        <w:sz w:val="16"/>
                        <w:szCs w:val="16"/>
                      </w:rPr>
                      <w:drawing>
                        <wp:inline distT="0" distB="0" distL="0" distR="0">
                          <wp:extent cx="5915025" cy="304800"/>
                          <wp:effectExtent l="0" t="0" r="9525" b="0"/>
                          <wp:docPr id="3" name="Obraz 1" descr="stopka z DG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stopka z DG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t="24113" b="45964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915025" cy="304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:rsidR="000E5FB8" w:rsidRPr="00F96658" w:rsidRDefault="00CE2C13" w:rsidP="00EE3C7F">
    <w:pPr>
      <w:pStyle w:val="Stopka"/>
      <w:jc w:val="center"/>
      <w:rPr>
        <w:rFonts w:ascii="Tahoma" w:hAnsi="Tahoma" w:cs="Tahoma"/>
        <w:sz w:val="16"/>
        <w:szCs w:val="16"/>
      </w:rPr>
    </w:pPr>
    <w:r>
      <w:rPr>
        <w:noProof/>
        <w:sz w:val="20"/>
      </w:rPr>
      <w:drawing>
        <wp:inline distT="0" distB="0" distL="0" distR="0">
          <wp:extent cx="6067425" cy="1247775"/>
          <wp:effectExtent l="0" t="0" r="9525" b="9525"/>
          <wp:docPr id="2" name="Obraz 2" descr="stopka-p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-pop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74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807" w:rsidRDefault="00C45807">
      <w:r>
        <w:separator/>
      </w:r>
    </w:p>
  </w:footnote>
  <w:footnote w:type="continuationSeparator" w:id="0">
    <w:p w:rsidR="00C45807" w:rsidRDefault="00C458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FB8" w:rsidRPr="00F96658" w:rsidRDefault="00CE2C13" w:rsidP="00F96658">
    <w:pPr>
      <w:pStyle w:val="Nagwek"/>
      <w:rPr>
        <w:rFonts w:ascii="Tahoma" w:hAnsi="Tahoma" w:cs="Tahoma"/>
        <w:sz w:val="16"/>
        <w:szCs w:val="18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-374015</wp:posOffset>
          </wp:positionH>
          <wp:positionV relativeFrom="margin">
            <wp:posOffset>-728345</wp:posOffset>
          </wp:positionV>
          <wp:extent cx="6798945" cy="787400"/>
          <wp:effectExtent l="0" t="0" r="1905" b="0"/>
          <wp:wrapSquare wrapText="bothSides"/>
          <wp:docPr id="6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8945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E5FB8" w:rsidRPr="00F96658" w:rsidRDefault="000E5FB8">
    <w:pPr>
      <w:pStyle w:val="Nagwek"/>
      <w:rPr>
        <w:rFonts w:ascii="Tahoma" w:hAnsi="Tahoma" w:cs="Tahoma"/>
        <w:sz w:val="20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257E2"/>
    <w:multiLevelType w:val="hybridMultilevel"/>
    <w:tmpl w:val="1A22FAC8"/>
    <w:lvl w:ilvl="0" w:tplc="1F322E54">
      <w:start w:val="1"/>
      <w:numFmt w:val="decimal"/>
      <w:lvlText w:val="%1)"/>
      <w:lvlJc w:val="left"/>
      <w:pPr>
        <w:tabs>
          <w:tab w:val="num" w:pos="1125"/>
        </w:tabs>
        <w:ind w:left="1125" w:hanging="765"/>
      </w:pPr>
      <w:rPr>
        <w:rFonts w:hint="default"/>
        <w:color w:val="auto"/>
      </w:rPr>
    </w:lvl>
    <w:lvl w:ilvl="1" w:tplc="8B12CED8">
      <w:start w:val="1"/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Times New Roman" w:eastAsia="Times New Roman" w:hAnsi="Times New Roman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7905DF"/>
    <w:multiLevelType w:val="hybridMultilevel"/>
    <w:tmpl w:val="D16A5D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F5935"/>
    <w:multiLevelType w:val="hybridMultilevel"/>
    <w:tmpl w:val="FC96C5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641B5"/>
    <w:multiLevelType w:val="hybridMultilevel"/>
    <w:tmpl w:val="DD909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4006E4"/>
    <w:multiLevelType w:val="hybridMultilevel"/>
    <w:tmpl w:val="6BB2EF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C71DCD"/>
    <w:multiLevelType w:val="hybridMultilevel"/>
    <w:tmpl w:val="F086EC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7B08E3"/>
    <w:multiLevelType w:val="hybridMultilevel"/>
    <w:tmpl w:val="88C69C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A8329A"/>
    <w:multiLevelType w:val="hybridMultilevel"/>
    <w:tmpl w:val="25661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D40ADA"/>
    <w:multiLevelType w:val="hybridMultilevel"/>
    <w:tmpl w:val="1E6EA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B16D89"/>
    <w:multiLevelType w:val="hybridMultilevel"/>
    <w:tmpl w:val="5322D848"/>
    <w:lvl w:ilvl="0" w:tplc="384E730E">
      <w:start w:val="1"/>
      <w:numFmt w:val="decimal"/>
      <w:lvlText w:val="%1)"/>
      <w:lvlJc w:val="left"/>
      <w:pPr>
        <w:ind w:left="-20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10">
    <w:nsid w:val="4414763F"/>
    <w:multiLevelType w:val="hybridMultilevel"/>
    <w:tmpl w:val="34A2A8D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933642"/>
    <w:multiLevelType w:val="hybridMultilevel"/>
    <w:tmpl w:val="01461AE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04B05C0"/>
    <w:multiLevelType w:val="hybridMultilevel"/>
    <w:tmpl w:val="6D246F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D16F66"/>
    <w:multiLevelType w:val="hybridMultilevel"/>
    <w:tmpl w:val="F1528C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DD7715"/>
    <w:multiLevelType w:val="hybridMultilevel"/>
    <w:tmpl w:val="808AA4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F63A35"/>
    <w:multiLevelType w:val="hybridMultilevel"/>
    <w:tmpl w:val="6B10D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695CE0"/>
    <w:multiLevelType w:val="hybridMultilevel"/>
    <w:tmpl w:val="5A70D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775731"/>
    <w:multiLevelType w:val="hybridMultilevel"/>
    <w:tmpl w:val="E6B440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9815AB"/>
    <w:multiLevelType w:val="hybridMultilevel"/>
    <w:tmpl w:val="FABC96E2"/>
    <w:lvl w:ilvl="0" w:tplc="CD7E0E1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300095"/>
    <w:multiLevelType w:val="hybridMultilevel"/>
    <w:tmpl w:val="0D4A22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5D12B7"/>
    <w:multiLevelType w:val="hybridMultilevel"/>
    <w:tmpl w:val="7A8CA8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412E2B"/>
    <w:multiLevelType w:val="hybridMultilevel"/>
    <w:tmpl w:val="DB282E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0"/>
  </w:num>
  <w:num w:numId="4">
    <w:abstractNumId w:val="9"/>
  </w:num>
  <w:num w:numId="5">
    <w:abstractNumId w:val="8"/>
  </w:num>
  <w:num w:numId="6">
    <w:abstractNumId w:val="20"/>
  </w:num>
  <w:num w:numId="7">
    <w:abstractNumId w:val="7"/>
  </w:num>
  <w:num w:numId="8">
    <w:abstractNumId w:val="22"/>
  </w:num>
  <w:num w:numId="9">
    <w:abstractNumId w:val="10"/>
  </w:num>
  <w:num w:numId="10">
    <w:abstractNumId w:val="23"/>
  </w:num>
  <w:num w:numId="11">
    <w:abstractNumId w:val="1"/>
  </w:num>
  <w:num w:numId="12">
    <w:abstractNumId w:val="15"/>
  </w:num>
  <w:num w:numId="13">
    <w:abstractNumId w:val="14"/>
  </w:num>
  <w:num w:numId="14">
    <w:abstractNumId w:val="3"/>
  </w:num>
  <w:num w:numId="15">
    <w:abstractNumId w:val="18"/>
  </w:num>
  <w:num w:numId="16">
    <w:abstractNumId w:val="21"/>
  </w:num>
  <w:num w:numId="17">
    <w:abstractNumId w:val="19"/>
  </w:num>
  <w:num w:numId="18">
    <w:abstractNumId w:val="13"/>
  </w:num>
  <w:num w:numId="19">
    <w:abstractNumId w:val="5"/>
  </w:num>
  <w:num w:numId="20">
    <w:abstractNumId w:val="17"/>
  </w:num>
  <w:num w:numId="21">
    <w:abstractNumId w:val="4"/>
  </w:num>
  <w:num w:numId="22">
    <w:abstractNumId w:val="6"/>
  </w:num>
  <w:num w:numId="23">
    <w:abstractNumId w:val="2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038AE"/>
    <w:rsid w:val="00017CFE"/>
    <w:rsid w:val="00020394"/>
    <w:rsid w:val="0002516D"/>
    <w:rsid w:val="00036677"/>
    <w:rsid w:val="0004004A"/>
    <w:rsid w:val="00044E15"/>
    <w:rsid w:val="0007441A"/>
    <w:rsid w:val="00084781"/>
    <w:rsid w:val="000A2E5E"/>
    <w:rsid w:val="000A4471"/>
    <w:rsid w:val="000B1DEE"/>
    <w:rsid w:val="000B78EE"/>
    <w:rsid w:val="000B7EA0"/>
    <w:rsid w:val="000C14F5"/>
    <w:rsid w:val="000E083A"/>
    <w:rsid w:val="000E135A"/>
    <w:rsid w:val="000E5FB8"/>
    <w:rsid w:val="000F1307"/>
    <w:rsid w:val="000F48D6"/>
    <w:rsid w:val="00116D69"/>
    <w:rsid w:val="00121F4B"/>
    <w:rsid w:val="00152C87"/>
    <w:rsid w:val="001614BF"/>
    <w:rsid w:val="001624CB"/>
    <w:rsid w:val="001849EF"/>
    <w:rsid w:val="00186BD1"/>
    <w:rsid w:val="001A6E92"/>
    <w:rsid w:val="001B0A58"/>
    <w:rsid w:val="001C7ACF"/>
    <w:rsid w:val="001D02E6"/>
    <w:rsid w:val="001D2682"/>
    <w:rsid w:val="001F01CC"/>
    <w:rsid w:val="002157DC"/>
    <w:rsid w:val="002252F6"/>
    <w:rsid w:val="002330EA"/>
    <w:rsid w:val="00235D26"/>
    <w:rsid w:val="002436FA"/>
    <w:rsid w:val="00243B8C"/>
    <w:rsid w:val="0026350A"/>
    <w:rsid w:val="00271F64"/>
    <w:rsid w:val="002922D3"/>
    <w:rsid w:val="002C0A81"/>
    <w:rsid w:val="002C1148"/>
    <w:rsid w:val="002C412D"/>
    <w:rsid w:val="002D0FA6"/>
    <w:rsid w:val="002E2C83"/>
    <w:rsid w:val="0030039D"/>
    <w:rsid w:val="00300D88"/>
    <w:rsid w:val="00305B01"/>
    <w:rsid w:val="00314CAB"/>
    <w:rsid w:val="00332932"/>
    <w:rsid w:val="003363A5"/>
    <w:rsid w:val="00351DCF"/>
    <w:rsid w:val="003659F5"/>
    <w:rsid w:val="003773AE"/>
    <w:rsid w:val="00380EE1"/>
    <w:rsid w:val="00391C4A"/>
    <w:rsid w:val="003A6A0A"/>
    <w:rsid w:val="003B2285"/>
    <w:rsid w:val="003C202F"/>
    <w:rsid w:val="003C5BFC"/>
    <w:rsid w:val="003D7FFD"/>
    <w:rsid w:val="003E4C74"/>
    <w:rsid w:val="003F34CE"/>
    <w:rsid w:val="003F46BD"/>
    <w:rsid w:val="00401548"/>
    <w:rsid w:val="00401EDC"/>
    <w:rsid w:val="004041FC"/>
    <w:rsid w:val="004152B4"/>
    <w:rsid w:val="00417498"/>
    <w:rsid w:val="0042083D"/>
    <w:rsid w:val="00440028"/>
    <w:rsid w:val="00441E7A"/>
    <w:rsid w:val="004426BB"/>
    <w:rsid w:val="00446474"/>
    <w:rsid w:val="0044773B"/>
    <w:rsid w:val="00454F13"/>
    <w:rsid w:val="00476C00"/>
    <w:rsid w:val="004B724A"/>
    <w:rsid w:val="004C0763"/>
    <w:rsid w:val="004E45F0"/>
    <w:rsid w:val="004F211F"/>
    <w:rsid w:val="004F2181"/>
    <w:rsid w:val="004F4C16"/>
    <w:rsid w:val="004F7864"/>
    <w:rsid w:val="00502E50"/>
    <w:rsid w:val="00522191"/>
    <w:rsid w:val="005222B3"/>
    <w:rsid w:val="005347EF"/>
    <w:rsid w:val="0053552F"/>
    <w:rsid w:val="005355AA"/>
    <w:rsid w:val="0054662D"/>
    <w:rsid w:val="0056303F"/>
    <w:rsid w:val="0058124B"/>
    <w:rsid w:val="005953F7"/>
    <w:rsid w:val="005A6176"/>
    <w:rsid w:val="005D115B"/>
    <w:rsid w:val="005D69BA"/>
    <w:rsid w:val="005E629D"/>
    <w:rsid w:val="005F2DD0"/>
    <w:rsid w:val="005F5AFC"/>
    <w:rsid w:val="00602896"/>
    <w:rsid w:val="0060622C"/>
    <w:rsid w:val="0061150D"/>
    <w:rsid w:val="0061759A"/>
    <w:rsid w:val="00620A82"/>
    <w:rsid w:val="00625B6A"/>
    <w:rsid w:val="00633A33"/>
    <w:rsid w:val="00647CD9"/>
    <w:rsid w:val="0065566A"/>
    <w:rsid w:val="00655B6C"/>
    <w:rsid w:val="006666EE"/>
    <w:rsid w:val="00670E24"/>
    <w:rsid w:val="00672569"/>
    <w:rsid w:val="0067472C"/>
    <w:rsid w:val="006C0FA3"/>
    <w:rsid w:val="006C1F47"/>
    <w:rsid w:val="006C3109"/>
    <w:rsid w:val="006F4CCC"/>
    <w:rsid w:val="007140B9"/>
    <w:rsid w:val="00731E3C"/>
    <w:rsid w:val="0074248E"/>
    <w:rsid w:val="007433A3"/>
    <w:rsid w:val="00747670"/>
    <w:rsid w:val="00766EC0"/>
    <w:rsid w:val="00783EA3"/>
    <w:rsid w:val="007A4170"/>
    <w:rsid w:val="007A74ED"/>
    <w:rsid w:val="007B002C"/>
    <w:rsid w:val="007D64B1"/>
    <w:rsid w:val="007F2B47"/>
    <w:rsid w:val="00804339"/>
    <w:rsid w:val="00813B4D"/>
    <w:rsid w:val="0084667A"/>
    <w:rsid w:val="0086013C"/>
    <w:rsid w:val="00866629"/>
    <w:rsid w:val="008A4D88"/>
    <w:rsid w:val="008B587C"/>
    <w:rsid w:val="008C2331"/>
    <w:rsid w:val="008C4BA4"/>
    <w:rsid w:val="008D1A31"/>
    <w:rsid w:val="008E0979"/>
    <w:rsid w:val="008E6647"/>
    <w:rsid w:val="008F7913"/>
    <w:rsid w:val="00917AE0"/>
    <w:rsid w:val="00920C69"/>
    <w:rsid w:val="00931AAE"/>
    <w:rsid w:val="00952CBA"/>
    <w:rsid w:val="009537A9"/>
    <w:rsid w:val="00964A66"/>
    <w:rsid w:val="00966F96"/>
    <w:rsid w:val="00976C26"/>
    <w:rsid w:val="009851F8"/>
    <w:rsid w:val="009A00C7"/>
    <w:rsid w:val="009B39F8"/>
    <w:rsid w:val="009B5BE9"/>
    <w:rsid w:val="009C59B1"/>
    <w:rsid w:val="009F14F1"/>
    <w:rsid w:val="00A07C02"/>
    <w:rsid w:val="00A14A0C"/>
    <w:rsid w:val="00A40010"/>
    <w:rsid w:val="00A413D2"/>
    <w:rsid w:val="00A64A91"/>
    <w:rsid w:val="00A6694E"/>
    <w:rsid w:val="00A837A7"/>
    <w:rsid w:val="00A867EA"/>
    <w:rsid w:val="00A9685C"/>
    <w:rsid w:val="00AA722C"/>
    <w:rsid w:val="00AD0578"/>
    <w:rsid w:val="00AD1641"/>
    <w:rsid w:val="00AD3E54"/>
    <w:rsid w:val="00AF3067"/>
    <w:rsid w:val="00AF4EC0"/>
    <w:rsid w:val="00B0011E"/>
    <w:rsid w:val="00B0600A"/>
    <w:rsid w:val="00B07056"/>
    <w:rsid w:val="00B073DC"/>
    <w:rsid w:val="00B22FD6"/>
    <w:rsid w:val="00B31D58"/>
    <w:rsid w:val="00B331F3"/>
    <w:rsid w:val="00B37C64"/>
    <w:rsid w:val="00B37C88"/>
    <w:rsid w:val="00B41E3C"/>
    <w:rsid w:val="00B42CD0"/>
    <w:rsid w:val="00B44774"/>
    <w:rsid w:val="00B474E2"/>
    <w:rsid w:val="00B52E84"/>
    <w:rsid w:val="00B609BF"/>
    <w:rsid w:val="00B612FF"/>
    <w:rsid w:val="00B924E7"/>
    <w:rsid w:val="00BB4855"/>
    <w:rsid w:val="00BF1F7F"/>
    <w:rsid w:val="00BF2103"/>
    <w:rsid w:val="00BF2427"/>
    <w:rsid w:val="00BF78DA"/>
    <w:rsid w:val="00C047FB"/>
    <w:rsid w:val="00C10C6A"/>
    <w:rsid w:val="00C134A1"/>
    <w:rsid w:val="00C14A74"/>
    <w:rsid w:val="00C32242"/>
    <w:rsid w:val="00C456C6"/>
    <w:rsid w:val="00C45807"/>
    <w:rsid w:val="00C51D16"/>
    <w:rsid w:val="00C61EC5"/>
    <w:rsid w:val="00C64F4A"/>
    <w:rsid w:val="00C66C47"/>
    <w:rsid w:val="00C72AFE"/>
    <w:rsid w:val="00C766F9"/>
    <w:rsid w:val="00C92427"/>
    <w:rsid w:val="00CA5EE8"/>
    <w:rsid w:val="00CA7BAF"/>
    <w:rsid w:val="00CB5B9E"/>
    <w:rsid w:val="00CC513A"/>
    <w:rsid w:val="00CC5319"/>
    <w:rsid w:val="00CD36CD"/>
    <w:rsid w:val="00CE2C13"/>
    <w:rsid w:val="00CE6E7F"/>
    <w:rsid w:val="00CF5D17"/>
    <w:rsid w:val="00D222F7"/>
    <w:rsid w:val="00D325EC"/>
    <w:rsid w:val="00D379FA"/>
    <w:rsid w:val="00D41D72"/>
    <w:rsid w:val="00D41ED7"/>
    <w:rsid w:val="00D47628"/>
    <w:rsid w:val="00D60F22"/>
    <w:rsid w:val="00D610FE"/>
    <w:rsid w:val="00D72D35"/>
    <w:rsid w:val="00D86CCB"/>
    <w:rsid w:val="00D9553C"/>
    <w:rsid w:val="00DB0DF4"/>
    <w:rsid w:val="00DB5BA8"/>
    <w:rsid w:val="00DC382E"/>
    <w:rsid w:val="00DE3CE1"/>
    <w:rsid w:val="00DE6089"/>
    <w:rsid w:val="00DE6F00"/>
    <w:rsid w:val="00DF6E3B"/>
    <w:rsid w:val="00E12134"/>
    <w:rsid w:val="00E30CD4"/>
    <w:rsid w:val="00E32B0A"/>
    <w:rsid w:val="00E55811"/>
    <w:rsid w:val="00E56848"/>
    <w:rsid w:val="00E75F8F"/>
    <w:rsid w:val="00EA1B59"/>
    <w:rsid w:val="00EA5C8A"/>
    <w:rsid w:val="00EA6631"/>
    <w:rsid w:val="00EB1264"/>
    <w:rsid w:val="00EB5959"/>
    <w:rsid w:val="00EB5FC4"/>
    <w:rsid w:val="00EC4AE2"/>
    <w:rsid w:val="00ED3993"/>
    <w:rsid w:val="00EE3C7F"/>
    <w:rsid w:val="00EF7D57"/>
    <w:rsid w:val="00F22F9A"/>
    <w:rsid w:val="00F4290E"/>
    <w:rsid w:val="00F43536"/>
    <w:rsid w:val="00F80B6B"/>
    <w:rsid w:val="00F827D6"/>
    <w:rsid w:val="00F833B8"/>
    <w:rsid w:val="00F931DD"/>
    <w:rsid w:val="00F96658"/>
    <w:rsid w:val="00FA0CC3"/>
    <w:rsid w:val="00FA6596"/>
    <w:rsid w:val="00FA6C42"/>
    <w:rsid w:val="00FB51E9"/>
    <w:rsid w:val="00FC109D"/>
    <w:rsid w:val="00FC2469"/>
    <w:rsid w:val="00FC599F"/>
    <w:rsid w:val="00FD6BED"/>
    <w:rsid w:val="00FF3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222F7"/>
    <w:rPr>
      <w:sz w:val="28"/>
    </w:rPr>
  </w:style>
  <w:style w:type="paragraph" w:styleId="Nagwek2">
    <w:name w:val="heading 2"/>
    <w:basedOn w:val="Normalny"/>
    <w:next w:val="Normalny"/>
    <w:qFormat/>
    <w:rsid w:val="00952CBA"/>
    <w:pPr>
      <w:keepNext/>
      <w:tabs>
        <w:tab w:val="left" w:pos="709"/>
      </w:tabs>
      <w:jc w:val="center"/>
      <w:outlineLvl w:val="1"/>
    </w:pPr>
    <w:rPr>
      <w:rFonts w:ascii="Book Antiqua" w:hAnsi="Book Antiqua"/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952CBA"/>
    <w:pPr>
      <w:spacing w:before="100" w:beforeAutospacing="1" w:after="100" w:afterAutospacing="1"/>
    </w:pPr>
    <w:rPr>
      <w:rFonts w:ascii="Verdana" w:hAnsi="Verdana"/>
      <w:sz w:val="17"/>
      <w:szCs w:val="17"/>
    </w:rPr>
  </w:style>
  <w:style w:type="paragraph" w:styleId="Tekstpodstawowy">
    <w:name w:val="Body Text"/>
    <w:basedOn w:val="Normalny"/>
    <w:rsid w:val="00952CBA"/>
    <w:pPr>
      <w:spacing w:after="120"/>
    </w:pPr>
    <w:rPr>
      <w:sz w:val="20"/>
    </w:rPr>
  </w:style>
  <w:style w:type="paragraph" w:styleId="Tekstpodstawowy2">
    <w:name w:val="Body Text 2"/>
    <w:basedOn w:val="Normalny"/>
    <w:rsid w:val="00952CBA"/>
    <w:pPr>
      <w:spacing w:after="120" w:line="480" w:lineRule="auto"/>
    </w:pPr>
    <w:rPr>
      <w:sz w:val="24"/>
      <w:szCs w:val="24"/>
    </w:rPr>
  </w:style>
  <w:style w:type="paragraph" w:customStyle="1" w:styleId="Podpisy2">
    <w:name w:val="Podpisy2"/>
    <w:basedOn w:val="Normalny"/>
    <w:next w:val="Normalny"/>
    <w:rsid w:val="00952CBA"/>
    <w:pPr>
      <w:tabs>
        <w:tab w:val="right" w:pos="9072"/>
      </w:tabs>
      <w:suppressAutoHyphens/>
      <w:jc w:val="both"/>
    </w:pPr>
    <w:rPr>
      <w:noProof/>
      <w:spacing w:val="-3"/>
      <w:sz w:val="24"/>
    </w:rPr>
  </w:style>
  <w:style w:type="paragraph" w:customStyle="1" w:styleId="Akapitzlist1">
    <w:name w:val="Akapit z listą1"/>
    <w:basedOn w:val="Normalny"/>
    <w:rsid w:val="00952CB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ytu">
    <w:name w:val="Title"/>
    <w:basedOn w:val="Normalny"/>
    <w:qFormat/>
    <w:rsid w:val="00522191"/>
    <w:pPr>
      <w:tabs>
        <w:tab w:val="left" w:pos="709"/>
      </w:tabs>
      <w:spacing w:line="360" w:lineRule="auto"/>
      <w:jc w:val="center"/>
    </w:pPr>
    <w:rPr>
      <w:rFonts w:ascii="Bookman Old Style" w:hAnsi="Bookman Old Style"/>
      <w:b/>
      <w:sz w:val="24"/>
    </w:rPr>
  </w:style>
  <w:style w:type="paragraph" w:styleId="Tekstdymka">
    <w:name w:val="Balloon Text"/>
    <w:basedOn w:val="Normalny"/>
    <w:link w:val="TekstdymkaZnak"/>
    <w:rsid w:val="00B37C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37C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222F7"/>
    <w:rPr>
      <w:sz w:val="28"/>
    </w:rPr>
  </w:style>
  <w:style w:type="paragraph" w:styleId="Nagwek2">
    <w:name w:val="heading 2"/>
    <w:basedOn w:val="Normalny"/>
    <w:next w:val="Normalny"/>
    <w:qFormat/>
    <w:rsid w:val="00952CBA"/>
    <w:pPr>
      <w:keepNext/>
      <w:tabs>
        <w:tab w:val="left" w:pos="709"/>
      </w:tabs>
      <w:jc w:val="center"/>
      <w:outlineLvl w:val="1"/>
    </w:pPr>
    <w:rPr>
      <w:rFonts w:ascii="Book Antiqua" w:hAnsi="Book Antiqua"/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952CBA"/>
    <w:pPr>
      <w:spacing w:before="100" w:beforeAutospacing="1" w:after="100" w:afterAutospacing="1"/>
    </w:pPr>
    <w:rPr>
      <w:rFonts w:ascii="Verdana" w:hAnsi="Verdana"/>
      <w:sz w:val="17"/>
      <w:szCs w:val="17"/>
    </w:rPr>
  </w:style>
  <w:style w:type="paragraph" w:styleId="Tekstpodstawowy">
    <w:name w:val="Body Text"/>
    <w:basedOn w:val="Normalny"/>
    <w:rsid w:val="00952CBA"/>
    <w:pPr>
      <w:spacing w:after="120"/>
    </w:pPr>
    <w:rPr>
      <w:sz w:val="20"/>
    </w:rPr>
  </w:style>
  <w:style w:type="paragraph" w:styleId="Tekstpodstawowy2">
    <w:name w:val="Body Text 2"/>
    <w:basedOn w:val="Normalny"/>
    <w:rsid w:val="00952CBA"/>
    <w:pPr>
      <w:spacing w:after="120" w:line="480" w:lineRule="auto"/>
    </w:pPr>
    <w:rPr>
      <w:sz w:val="24"/>
      <w:szCs w:val="24"/>
    </w:rPr>
  </w:style>
  <w:style w:type="paragraph" w:customStyle="1" w:styleId="Podpisy2">
    <w:name w:val="Podpisy2"/>
    <w:basedOn w:val="Normalny"/>
    <w:next w:val="Normalny"/>
    <w:rsid w:val="00952CBA"/>
    <w:pPr>
      <w:tabs>
        <w:tab w:val="right" w:pos="9072"/>
      </w:tabs>
      <w:suppressAutoHyphens/>
      <w:jc w:val="both"/>
    </w:pPr>
    <w:rPr>
      <w:noProof/>
      <w:spacing w:val="-3"/>
      <w:sz w:val="24"/>
    </w:rPr>
  </w:style>
  <w:style w:type="paragraph" w:customStyle="1" w:styleId="Akapitzlist1">
    <w:name w:val="Akapit z listą1"/>
    <w:basedOn w:val="Normalny"/>
    <w:rsid w:val="00952CB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ytu">
    <w:name w:val="Title"/>
    <w:basedOn w:val="Normalny"/>
    <w:qFormat/>
    <w:rsid w:val="00522191"/>
    <w:pPr>
      <w:tabs>
        <w:tab w:val="left" w:pos="709"/>
      </w:tabs>
      <w:spacing w:line="360" w:lineRule="auto"/>
      <w:jc w:val="center"/>
    </w:pPr>
    <w:rPr>
      <w:rFonts w:ascii="Bookman Old Style" w:hAnsi="Bookman Old Style"/>
      <w:b/>
      <w:sz w:val="24"/>
    </w:rPr>
  </w:style>
  <w:style w:type="paragraph" w:styleId="Tekstdymka">
    <w:name w:val="Balloon Text"/>
    <w:basedOn w:val="Normalny"/>
    <w:link w:val="TekstdymkaZnak"/>
    <w:rsid w:val="00B37C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37C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4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0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E98A6-7949-4448-9EE0-BB98ECA39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</TotalTime>
  <Pages>7</Pages>
  <Words>2502</Words>
  <Characters>17150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Poznań, data</vt:lpstr>
    </vt:vector>
  </TitlesOfParts>
  <Company>Creative Force sp. z o. o.</Company>
  <LinksUpToDate>false</LinksUpToDate>
  <CharactersWithSpaces>19613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Poznań, data</dc:title>
  <dc:creator>Pracownik</dc:creator>
  <cp:lastModifiedBy>Piechowiak, Błażej</cp:lastModifiedBy>
  <cp:revision>4</cp:revision>
  <cp:lastPrinted>2009-09-09T14:39:00Z</cp:lastPrinted>
  <dcterms:created xsi:type="dcterms:W3CDTF">2012-06-18T14:12:00Z</dcterms:created>
  <dcterms:modified xsi:type="dcterms:W3CDTF">2012-06-19T13:42:00Z</dcterms:modified>
</cp:coreProperties>
</file>