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60" w:rsidRDefault="00DE4C60" w:rsidP="00DE4C60">
      <w:pPr>
        <w:spacing w:line="360" w:lineRule="auto"/>
        <w:ind w:right="141"/>
        <w:jc w:val="right"/>
        <w:rPr>
          <w:rFonts w:ascii="Tahoma" w:hAnsi="Tahoma"/>
          <w:sz w:val="20"/>
          <w:lang w:val="en-AU"/>
        </w:rPr>
      </w:pPr>
    </w:p>
    <w:p w:rsidR="004930CA" w:rsidRPr="00AF2262" w:rsidRDefault="004930CA" w:rsidP="004930CA">
      <w:pPr>
        <w:jc w:val="right"/>
        <w:rPr>
          <w:rFonts w:ascii="Tahoma" w:hAnsi="Tahoma"/>
          <w:sz w:val="22"/>
          <w:szCs w:val="22"/>
        </w:rPr>
      </w:pPr>
      <w:r w:rsidRPr="00AF2262">
        <w:rPr>
          <w:rFonts w:ascii="Tahoma" w:hAnsi="Tahoma"/>
          <w:sz w:val="22"/>
          <w:szCs w:val="22"/>
        </w:rPr>
        <w:t xml:space="preserve">Poznań,  </w:t>
      </w:r>
      <w:r>
        <w:rPr>
          <w:rFonts w:ascii="Tahoma" w:hAnsi="Tahoma"/>
          <w:sz w:val="22"/>
          <w:szCs w:val="22"/>
        </w:rPr>
        <w:t>16 sierpnia 2012</w:t>
      </w:r>
      <w:r w:rsidRPr="00AF2262">
        <w:rPr>
          <w:rFonts w:ascii="Tahoma" w:hAnsi="Tahoma"/>
          <w:sz w:val="22"/>
          <w:szCs w:val="22"/>
        </w:rPr>
        <w:t xml:space="preserve"> r.</w:t>
      </w:r>
    </w:p>
    <w:p w:rsidR="004930CA" w:rsidRPr="00AF2262" w:rsidRDefault="004930CA" w:rsidP="004930CA">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8540"/>
      </w:tblGrid>
      <w:tr w:rsidR="004930CA" w:rsidRPr="00AF2262" w:rsidTr="001B1D5C">
        <w:trPr>
          <w:trHeight w:val="851"/>
        </w:trPr>
        <w:tc>
          <w:tcPr>
            <w:tcW w:w="1108" w:type="dxa"/>
          </w:tcPr>
          <w:p w:rsidR="004930CA" w:rsidRPr="00AF2262" w:rsidRDefault="004930CA" w:rsidP="001B1D5C">
            <w:pPr>
              <w:rPr>
                <w:rFonts w:ascii="Tahoma" w:hAnsi="Tahoma" w:cs="Tahoma"/>
                <w:sz w:val="20"/>
              </w:rPr>
            </w:pPr>
            <w:r w:rsidRPr="00AF2262">
              <w:rPr>
                <w:rFonts w:ascii="Tahoma" w:hAnsi="Tahoma" w:cs="Tahoma"/>
                <w:sz w:val="20"/>
              </w:rPr>
              <w:t>Adresaci:</w:t>
            </w:r>
          </w:p>
        </w:tc>
        <w:tc>
          <w:tcPr>
            <w:tcW w:w="8540" w:type="dxa"/>
          </w:tcPr>
          <w:p w:rsidR="004930CA" w:rsidRPr="00AF2262" w:rsidRDefault="004930CA" w:rsidP="001B1D5C">
            <w:pPr>
              <w:ind w:left="567" w:hanging="567"/>
              <w:rPr>
                <w:rFonts w:ascii="Tahoma" w:hAnsi="Tahoma"/>
                <w:noProof/>
                <w:sz w:val="20"/>
              </w:rPr>
            </w:pPr>
            <w:r w:rsidRPr="00AF2262">
              <w:rPr>
                <w:rFonts w:ascii="Tahoma" w:hAnsi="Tahoma"/>
                <w:noProof/>
                <w:sz w:val="20"/>
              </w:rPr>
              <w:t>Kancelaria Publiczna KNF</w:t>
            </w:r>
          </w:p>
          <w:p w:rsidR="004930CA" w:rsidRPr="00AF2262" w:rsidRDefault="004930CA" w:rsidP="001B1D5C">
            <w:pPr>
              <w:ind w:left="567" w:hanging="567"/>
              <w:rPr>
                <w:rFonts w:ascii="Tahoma" w:hAnsi="Tahoma"/>
                <w:noProof/>
                <w:sz w:val="20"/>
              </w:rPr>
            </w:pPr>
            <w:r w:rsidRPr="00AF2262">
              <w:rPr>
                <w:rFonts w:ascii="Tahoma" w:hAnsi="Tahoma"/>
                <w:noProof/>
                <w:sz w:val="20"/>
              </w:rPr>
              <w:t>Dział Emitentów GPW</w:t>
            </w:r>
          </w:p>
          <w:p w:rsidR="004930CA" w:rsidRPr="00AF2262" w:rsidRDefault="004930CA" w:rsidP="001B1D5C">
            <w:pPr>
              <w:ind w:left="567" w:hanging="567"/>
              <w:rPr>
                <w:rFonts w:ascii="Tahoma" w:hAnsi="Tahoma"/>
                <w:noProof/>
                <w:sz w:val="20"/>
              </w:rPr>
            </w:pPr>
            <w:r w:rsidRPr="00AF2262">
              <w:rPr>
                <w:rFonts w:ascii="Tahoma" w:hAnsi="Tahoma"/>
                <w:noProof/>
                <w:sz w:val="20"/>
              </w:rPr>
              <w:t>Dział Emitencki i Notowań PAP</w:t>
            </w:r>
          </w:p>
          <w:p w:rsidR="004930CA" w:rsidRPr="00AF2262" w:rsidRDefault="004930CA" w:rsidP="001B1D5C">
            <w:pPr>
              <w:rPr>
                <w:rFonts w:ascii="Tahoma" w:hAnsi="Tahoma" w:cs="Tahoma"/>
                <w:sz w:val="20"/>
              </w:rPr>
            </w:pPr>
          </w:p>
        </w:tc>
      </w:tr>
      <w:tr w:rsidR="004930CA" w:rsidRPr="00AF2262" w:rsidTr="001B1D5C">
        <w:trPr>
          <w:trHeight w:val="764"/>
        </w:trPr>
        <w:tc>
          <w:tcPr>
            <w:tcW w:w="1108" w:type="dxa"/>
            <w:tcBorders>
              <w:top w:val="single" w:sz="4" w:space="0" w:color="auto"/>
              <w:bottom w:val="single" w:sz="4" w:space="0" w:color="auto"/>
            </w:tcBorders>
          </w:tcPr>
          <w:p w:rsidR="004930CA" w:rsidRPr="00AF2262" w:rsidRDefault="004930CA" w:rsidP="001B1D5C">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tcPr>
          <w:p w:rsidR="004930CA" w:rsidRPr="003F34CE" w:rsidRDefault="004930CA" w:rsidP="001B1D5C">
            <w:pPr>
              <w:rPr>
                <w:rFonts w:ascii="Tahoma" w:hAnsi="Tahoma" w:cs="Tahoma"/>
                <w:b/>
                <w:sz w:val="20"/>
              </w:rPr>
            </w:pPr>
            <w:r>
              <w:rPr>
                <w:rFonts w:ascii="Tahoma" w:hAnsi="Tahoma" w:cs="Tahoma"/>
                <w:b/>
                <w:sz w:val="20"/>
              </w:rPr>
              <w:t xml:space="preserve">Niespełnienie się warunku zawieszającego dotyczącego znaczącej umowy warunkowej </w:t>
            </w:r>
          </w:p>
        </w:tc>
      </w:tr>
      <w:tr w:rsidR="004930CA" w:rsidRPr="00AF2262" w:rsidTr="001B1D5C">
        <w:trPr>
          <w:trHeight w:val="424"/>
        </w:trPr>
        <w:tc>
          <w:tcPr>
            <w:tcW w:w="9648" w:type="dxa"/>
            <w:gridSpan w:val="2"/>
            <w:tcBorders>
              <w:top w:val="single" w:sz="4" w:space="0" w:color="auto"/>
            </w:tcBorders>
          </w:tcPr>
          <w:p w:rsidR="004930CA" w:rsidRPr="00AF2262" w:rsidRDefault="004930CA" w:rsidP="001B1D5C">
            <w:pPr>
              <w:rPr>
                <w:rFonts w:ascii="Tahoma" w:hAnsi="Tahoma" w:cs="Tahoma"/>
                <w:b/>
                <w:sz w:val="20"/>
              </w:rPr>
            </w:pPr>
            <w:r>
              <w:rPr>
                <w:rFonts w:ascii="Tahoma" w:hAnsi="Tahoma" w:cs="Tahoma"/>
                <w:b/>
                <w:sz w:val="20"/>
              </w:rPr>
              <w:t>Raport bieżący nr 10/2012</w:t>
            </w:r>
          </w:p>
        </w:tc>
      </w:tr>
      <w:tr w:rsidR="004930CA" w:rsidRPr="0053552F" w:rsidTr="001B1D5C">
        <w:trPr>
          <w:trHeight w:val="524"/>
        </w:trPr>
        <w:tc>
          <w:tcPr>
            <w:tcW w:w="9648" w:type="dxa"/>
            <w:gridSpan w:val="2"/>
            <w:tcBorders>
              <w:bottom w:val="single" w:sz="4" w:space="0" w:color="auto"/>
            </w:tcBorders>
          </w:tcPr>
          <w:p w:rsidR="004930CA" w:rsidRDefault="004930CA" w:rsidP="001B1D5C">
            <w:pPr>
              <w:ind w:right="72"/>
              <w:jc w:val="both"/>
              <w:rPr>
                <w:rFonts w:ascii="Tahoma" w:hAnsi="Tahoma" w:cs="Tahoma"/>
                <w:sz w:val="20"/>
              </w:rPr>
            </w:pPr>
            <w:r>
              <w:rPr>
                <w:rFonts w:ascii="Tahoma" w:hAnsi="Tahoma" w:cs="Tahoma"/>
                <w:sz w:val="20"/>
              </w:rPr>
              <w:t>W dniu 19 czerwca 2012 roku podpisana została trójstronna umowa o udzielenie</w:t>
            </w:r>
            <w:r w:rsidRPr="002330EA">
              <w:rPr>
                <w:rFonts w:ascii="Tahoma" w:hAnsi="Tahoma" w:cs="Tahoma"/>
                <w:sz w:val="20"/>
              </w:rPr>
              <w:t xml:space="preserve"> wsparcia finansowego </w:t>
            </w:r>
            <w:r>
              <w:rPr>
                <w:rFonts w:ascii="Tahoma" w:hAnsi="Tahoma" w:cs="Tahoma"/>
                <w:sz w:val="20"/>
              </w:rPr>
              <w:t>pomiędzy:</w:t>
            </w:r>
          </w:p>
          <w:p w:rsidR="004930CA" w:rsidRDefault="004930CA" w:rsidP="004930CA">
            <w:pPr>
              <w:numPr>
                <w:ilvl w:val="0"/>
                <w:numId w:val="6"/>
              </w:numPr>
              <w:ind w:right="72"/>
              <w:jc w:val="both"/>
              <w:rPr>
                <w:rFonts w:ascii="Tahoma" w:hAnsi="Tahoma" w:cs="Tahoma"/>
                <w:sz w:val="20"/>
              </w:rPr>
            </w:pPr>
            <w:r>
              <w:rPr>
                <w:rFonts w:ascii="Tahoma" w:hAnsi="Tahoma" w:cs="Tahoma"/>
                <w:sz w:val="20"/>
              </w:rPr>
              <w:t>DGA S.A,</w:t>
            </w:r>
          </w:p>
          <w:p w:rsidR="004930CA" w:rsidRDefault="004930CA" w:rsidP="004930CA">
            <w:pPr>
              <w:numPr>
                <w:ilvl w:val="0"/>
                <w:numId w:val="6"/>
              </w:numPr>
              <w:ind w:right="72"/>
              <w:jc w:val="both"/>
              <w:rPr>
                <w:rFonts w:ascii="Tahoma" w:hAnsi="Tahoma" w:cs="Tahoma"/>
                <w:sz w:val="20"/>
              </w:rPr>
            </w:pPr>
            <w:r>
              <w:rPr>
                <w:rFonts w:ascii="Tahoma" w:hAnsi="Tahoma" w:cs="Tahoma"/>
                <w:sz w:val="20"/>
              </w:rPr>
              <w:t>Krajowym Funduszem Kapitałowym S.A.,</w:t>
            </w:r>
          </w:p>
          <w:p w:rsidR="004930CA" w:rsidRDefault="004930CA" w:rsidP="004930CA">
            <w:pPr>
              <w:numPr>
                <w:ilvl w:val="0"/>
                <w:numId w:val="6"/>
              </w:numPr>
              <w:ind w:right="72"/>
              <w:jc w:val="both"/>
              <w:rPr>
                <w:rFonts w:ascii="Tahoma" w:hAnsi="Tahoma" w:cs="Tahoma"/>
                <w:sz w:val="20"/>
                <w:lang w:val="en-US"/>
              </w:rPr>
            </w:pPr>
            <w:r w:rsidRPr="00EC64AD">
              <w:rPr>
                <w:rFonts w:ascii="Tahoma" w:hAnsi="Tahoma" w:cs="Tahoma"/>
                <w:sz w:val="20"/>
                <w:lang w:val="en-US"/>
              </w:rPr>
              <w:t>Life Fund Sp. z o.o.,</w:t>
            </w:r>
          </w:p>
          <w:p w:rsidR="004930CA" w:rsidRPr="004930CA" w:rsidRDefault="004930CA" w:rsidP="001B1D5C">
            <w:pPr>
              <w:ind w:left="720" w:right="72"/>
              <w:jc w:val="both"/>
              <w:rPr>
                <w:rFonts w:ascii="Tahoma" w:hAnsi="Tahoma" w:cs="Tahoma"/>
                <w:sz w:val="20"/>
                <w:lang w:val="en-US"/>
              </w:rPr>
            </w:pPr>
          </w:p>
          <w:p w:rsidR="004930CA" w:rsidRPr="00EC64AD" w:rsidRDefault="004930CA" w:rsidP="001B1D5C">
            <w:pPr>
              <w:ind w:right="72"/>
              <w:jc w:val="both"/>
              <w:rPr>
                <w:rFonts w:ascii="Tahoma" w:hAnsi="Tahoma" w:cs="Tahoma"/>
                <w:sz w:val="20"/>
              </w:rPr>
            </w:pPr>
            <w:r w:rsidRPr="00EC64AD">
              <w:rPr>
                <w:rFonts w:ascii="Tahoma" w:hAnsi="Tahoma" w:cs="Tahoma"/>
                <w:sz w:val="20"/>
              </w:rPr>
              <w:t>o</w:t>
            </w:r>
            <w:r>
              <w:rPr>
                <w:rFonts w:ascii="Tahoma" w:hAnsi="Tahoma" w:cs="Tahoma"/>
                <w:sz w:val="20"/>
              </w:rPr>
              <w:t xml:space="preserve"> </w:t>
            </w:r>
            <w:r w:rsidRPr="00EC64AD">
              <w:rPr>
                <w:rFonts w:ascii="Tahoma" w:hAnsi="Tahoma" w:cs="Tahoma"/>
                <w:sz w:val="20"/>
              </w:rPr>
              <w:t>której Emitent informował w raporcie bieżącym nr 9/2012</w:t>
            </w:r>
            <w:r>
              <w:rPr>
                <w:rFonts w:ascii="Tahoma" w:hAnsi="Tahoma" w:cs="Tahoma"/>
                <w:sz w:val="20"/>
              </w:rPr>
              <w:t xml:space="preserve"> w dniu 19 czerwca 2012 r.</w:t>
            </w:r>
          </w:p>
          <w:p w:rsidR="004930CA" w:rsidRDefault="004930CA" w:rsidP="001B1D5C">
            <w:pPr>
              <w:shd w:val="clear" w:color="auto" w:fill="FFFFFF"/>
              <w:spacing w:before="240" w:after="200"/>
              <w:jc w:val="both"/>
              <w:rPr>
                <w:rFonts w:ascii="Tahoma" w:hAnsi="Tahoma" w:cs="Tahoma"/>
                <w:sz w:val="20"/>
              </w:rPr>
            </w:pPr>
            <w:r>
              <w:rPr>
                <w:rFonts w:ascii="Tahoma" w:hAnsi="Tahoma" w:cs="Tahoma"/>
                <w:sz w:val="20"/>
              </w:rPr>
              <w:t xml:space="preserve">Zgodnie z umową strony zamierzały powołać Fundusz Kapitałowy Life Fund Spółka z ograniczoną odpowiedzialnością Spółka Komandytowo-Akcyjna, </w:t>
            </w:r>
            <w:r w:rsidRPr="00B07056">
              <w:rPr>
                <w:rFonts w:ascii="Tahoma" w:hAnsi="Tahoma" w:cs="Tahoma"/>
                <w:sz w:val="20"/>
              </w:rPr>
              <w:t>którego wyłącznym przedmiotem d</w:t>
            </w:r>
            <w:r>
              <w:rPr>
                <w:rFonts w:ascii="Tahoma" w:hAnsi="Tahoma" w:cs="Tahoma"/>
                <w:sz w:val="20"/>
              </w:rPr>
              <w:t>ziałalności miało być dokonywanie i</w:t>
            </w:r>
            <w:r w:rsidRPr="00B07056">
              <w:rPr>
                <w:rFonts w:ascii="Tahoma" w:hAnsi="Tahoma" w:cs="Tahoma"/>
                <w:sz w:val="20"/>
              </w:rPr>
              <w:t>nwestycji</w:t>
            </w:r>
            <w:r>
              <w:rPr>
                <w:rFonts w:ascii="Tahoma" w:hAnsi="Tahoma" w:cs="Tahoma"/>
                <w:sz w:val="20"/>
              </w:rPr>
              <w:t xml:space="preserve"> w szczególności w innowacyjne firmy z branży life science obejmującej takie dziedziny jak biotechnologia, nanotechnologia, leki generyczne i inne wyroby farmaceutyczne, diagnostyka i produkty medyczne, a także w projekty o wysokim potencjale wzrostu wartości.  </w:t>
            </w:r>
          </w:p>
          <w:p w:rsidR="004930CA" w:rsidRPr="00CB5B9E" w:rsidRDefault="004930CA" w:rsidP="001B1D5C">
            <w:pPr>
              <w:shd w:val="clear" w:color="auto" w:fill="FFFFFF"/>
              <w:spacing w:before="240" w:after="200"/>
              <w:jc w:val="both"/>
              <w:rPr>
                <w:rFonts w:ascii="Tahoma" w:hAnsi="Tahoma" w:cs="Tahoma"/>
                <w:sz w:val="20"/>
              </w:rPr>
            </w:pPr>
            <w:r>
              <w:rPr>
                <w:rFonts w:ascii="Tahoma" w:hAnsi="Tahoma" w:cs="Tahoma"/>
                <w:sz w:val="20"/>
              </w:rPr>
              <w:t>Umowa miała wejść w życie w przypadku, gdy spełniony zostanie następujący warunek zawieszający</w:t>
            </w:r>
            <w:r w:rsidRPr="00CB5B9E">
              <w:rPr>
                <w:rFonts w:ascii="Tahoma" w:hAnsi="Tahoma" w:cs="Tahoma"/>
                <w:sz w:val="20"/>
              </w:rPr>
              <w:t xml:space="preserve">: </w:t>
            </w:r>
          </w:p>
          <w:p w:rsidR="004930CA" w:rsidRDefault="004930CA" w:rsidP="004930CA">
            <w:pPr>
              <w:numPr>
                <w:ilvl w:val="0"/>
                <w:numId w:val="7"/>
              </w:numPr>
              <w:shd w:val="clear" w:color="auto" w:fill="FFFFFF"/>
              <w:spacing w:before="240" w:after="200"/>
              <w:jc w:val="both"/>
              <w:rPr>
                <w:rFonts w:ascii="Tahoma" w:hAnsi="Tahoma" w:cs="Tahoma"/>
                <w:sz w:val="20"/>
              </w:rPr>
            </w:pPr>
            <w:r>
              <w:rPr>
                <w:rFonts w:ascii="Tahoma" w:hAnsi="Tahoma" w:cs="Tahoma"/>
                <w:sz w:val="20"/>
              </w:rPr>
              <w:t>uzgodnienie i zaakceptowanie</w:t>
            </w:r>
            <w:r w:rsidRPr="00CB5B9E">
              <w:rPr>
                <w:rFonts w:ascii="Tahoma" w:hAnsi="Tahoma" w:cs="Tahoma"/>
                <w:sz w:val="20"/>
              </w:rPr>
              <w:t xml:space="preserve"> przez wszystkie Strony Umowy treści Statutu Funduszu Kapitałowego oraz treści umowy o zarządzanie w nieprzekraczalnym terminie 60 dni od daty zawarcia Umowy;</w:t>
            </w:r>
          </w:p>
          <w:p w:rsidR="004930CA" w:rsidRDefault="004930CA" w:rsidP="004930CA">
            <w:pPr>
              <w:numPr>
                <w:ilvl w:val="0"/>
                <w:numId w:val="7"/>
              </w:numPr>
              <w:shd w:val="clear" w:color="auto" w:fill="FFFFFF"/>
              <w:spacing w:before="240" w:after="200"/>
              <w:jc w:val="both"/>
              <w:rPr>
                <w:rFonts w:ascii="Tahoma" w:hAnsi="Tahoma" w:cs="Tahoma"/>
                <w:sz w:val="20"/>
              </w:rPr>
            </w:pPr>
            <w:r>
              <w:rPr>
                <w:rFonts w:ascii="Tahoma" w:hAnsi="Tahoma" w:cs="Tahoma"/>
                <w:sz w:val="20"/>
              </w:rPr>
              <w:t>uzgodnienie i zaakceptowanie</w:t>
            </w:r>
            <w:r w:rsidRPr="00CB5B9E">
              <w:rPr>
                <w:rFonts w:ascii="Tahoma" w:hAnsi="Tahoma" w:cs="Tahoma"/>
                <w:sz w:val="20"/>
              </w:rPr>
              <w:t xml:space="preserve"> przez wszystkie Strony Umowy treści </w:t>
            </w:r>
            <w:r>
              <w:rPr>
                <w:rFonts w:ascii="Tahoma" w:hAnsi="Tahoma" w:cs="Tahoma"/>
                <w:sz w:val="20"/>
              </w:rPr>
              <w:t>wszystkich załączników do umowy</w:t>
            </w:r>
            <w:r w:rsidRPr="00CB5B9E">
              <w:rPr>
                <w:rFonts w:ascii="Tahoma" w:hAnsi="Tahoma" w:cs="Tahoma"/>
                <w:sz w:val="20"/>
              </w:rPr>
              <w:t xml:space="preserve"> </w:t>
            </w:r>
            <w:r>
              <w:rPr>
                <w:rFonts w:ascii="Tahoma" w:hAnsi="Tahoma" w:cs="Tahoma"/>
                <w:sz w:val="20"/>
              </w:rPr>
              <w:t xml:space="preserve">(przede wszystkim regulaminów, wzorów oświadczeń i pełnomocnictw, budżetu operacyjnego, zasad rozliczeń i wynagradzania, projektów umów z członkami kluczowego personelu) </w:t>
            </w:r>
            <w:r w:rsidRPr="00CB5B9E">
              <w:rPr>
                <w:rFonts w:ascii="Tahoma" w:hAnsi="Tahoma" w:cs="Tahoma"/>
                <w:sz w:val="20"/>
              </w:rPr>
              <w:t>w nieprzekraczalnym terminie 60 dni od daty zawarcia niniejszej Umowy;</w:t>
            </w:r>
          </w:p>
          <w:p w:rsidR="004930CA" w:rsidRPr="00CB5B9E" w:rsidRDefault="004930CA" w:rsidP="004930CA">
            <w:pPr>
              <w:numPr>
                <w:ilvl w:val="0"/>
                <w:numId w:val="7"/>
              </w:numPr>
              <w:shd w:val="clear" w:color="auto" w:fill="FFFFFF"/>
              <w:spacing w:before="240" w:after="200"/>
              <w:jc w:val="both"/>
              <w:rPr>
                <w:rFonts w:ascii="Tahoma" w:hAnsi="Tahoma" w:cs="Tahoma"/>
                <w:sz w:val="20"/>
              </w:rPr>
            </w:pPr>
            <w:r>
              <w:rPr>
                <w:rFonts w:ascii="Tahoma" w:hAnsi="Tahoma" w:cs="Tahoma"/>
                <w:sz w:val="20"/>
              </w:rPr>
              <w:t>uzyskanie</w:t>
            </w:r>
            <w:r w:rsidRPr="00CB5B9E">
              <w:rPr>
                <w:rFonts w:ascii="Tahoma" w:hAnsi="Tahoma" w:cs="Tahoma"/>
                <w:sz w:val="20"/>
              </w:rPr>
              <w:t xml:space="preserve"> zgody Prezesa Urzędu Ochrony Konkurencji i Konsumentów na koncentrację przedsiębiorców w rozumieniu art. 13 do 17 ustawy z dnia 16 lutego 2007 r. o ochronie konkurencji i konsumentów (Dz. U. z 2007 r. Nr 50, poz. 331 z późn. zm.) lub wydania decyzji Prezesa UOKiK o umorzeniu postępowania ze względu na okoliczność, iż transakcja nie podlega obowiązkowi zgłoszenia do Prezesa UOKiK albo upływu terminu ustawowego na wydanie powyższej zgody, jeżeli przed upływem tego terminu Prezes UOKiK nie wyda żadnej decyzji, w zależności które z tych zdarzeń nastąpi wcześniej.</w:t>
            </w:r>
          </w:p>
          <w:p w:rsidR="004930CA" w:rsidRDefault="004930CA" w:rsidP="001B1D5C">
            <w:pPr>
              <w:shd w:val="clear" w:color="auto" w:fill="FFFFFF"/>
              <w:spacing w:before="240" w:after="200"/>
              <w:jc w:val="both"/>
              <w:rPr>
                <w:rFonts w:ascii="Tahoma" w:hAnsi="Tahoma" w:cs="Tahoma"/>
                <w:sz w:val="20"/>
              </w:rPr>
            </w:pPr>
            <w:r>
              <w:rPr>
                <w:rFonts w:ascii="Tahoma" w:hAnsi="Tahoma" w:cs="Tahoma"/>
                <w:sz w:val="20"/>
              </w:rPr>
              <w:t>Zarząd DGA S.A. informuje, że w wyniku braku akceptacji treści niektórych załączników do umowy, nie spełniony został powyższy warunek zawieszający, co oznacza że umowa o udzielenie</w:t>
            </w:r>
            <w:r w:rsidRPr="002330EA">
              <w:rPr>
                <w:rFonts w:ascii="Tahoma" w:hAnsi="Tahoma" w:cs="Tahoma"/>
                <w:sz w:val="20"/>
              </w:rPr>
              <w:t xml:space="preserve"> wsparcia finansowego</w:t>
            </w:r>
            <w:r>
              <w:rPr>
                <w:rFonts w:ascii="Tahoma" w:hAnsi="Tahoma" w:cs="Tahoma"/>
                <w:sz w:val="20"/>
              </w:rPr>
              <w:t xml:space="preserve"> nie wejdzie w życie.  Zarząd DGA S.A. w dniu 16 sierpnia 2012 r. podjął decyzję o zaprzestaniu dalszych negocjacji załączników, biorąc pod uwagę fakt, że 18 sierpnia 2012 r. mija wiążący termin uzgodnienia i akceptacji załączników, a dotychczasowe negocjacje nie doprowadziły do osiągnięcia porozumienia w tej kwestii. Zarząd DGA S.A. nie zaakceptował niektórych załączników z uwagi na zbyt wysokie ryzyko biznesowe, które wiązało się proponowaną treścią załączników, </w:t>
            </w:r>
            <w:r w:rsidRPr="00EC64AD">
              <w:rPr>
                <w:rFonts w:ascii="Tahoma" w:hAnsi="Tahoma" w:cs="Tahoma"/>
                <w:sz w:val="20"/>
                <w:highlight w:val="yellow"/>
              </w:rPr>
              <w:t>a w szczególności zasad współpracy z partnerem biznesowym jakim miało być Jagiellońskie Centrum Innowacji Sp. z o.o.</w:t>
            </w:r>
            <w:r>
              <w:rPr>
                <w:rFonts w:ascii="Tahoma" w:hAnsi="Tahoma" w:cs="Tahoma"/>
                <w:sz w:val="20"/>
              </w:rPr>
              <w:t xml:space="preserve"> </w:t>
            </w:r>
          </w:p>
          <w:p w:rsidR="004930CA" w:rsidRDefault="004930CA" w:rsidP="001B1D5C">
            <w:pPr>
              <w:ind w:right="72"/>
              <w:jc w:val="both"/>
              <w:rPr>
                <w:rFonts w:ascii="Tahoma" w:hAnsi="Tahoma" w:cs="Tahoma"/>
                <w:sz w:val="20"/>
              </w:rPr>
            </w:pPr>
          </w:p>
          <w:p w:rsidR="004930CA" w:rsidRPr="0053552F" w:rsidRDefault="004930CA" w:rsidP="001B1D5C">
            <w:pPr>
              <w:ind w:right="72"/>
              <w:jc w:val="both"/>
              <w:rPr>
                <w:rFonts w:ascii="Tahoma" w:hAnsi="Tahoma" w:cs="Tahoma"/>
                <w:sz w:val="20"/>
              </w:rPr>
            </w:pPr>
          </w:p>
        </w:tc>
      </w:tr>
      <w:tr w:rsidR="004930CA" w:rsidRPr="00AF2262" w:rsidTr="001B1D5C">
        <w:trPr>
          <w:trHeight w:val="419"/>
        </w:trPr>
        <w:tc>
          <w:tcPr>
            <w:tcW w:w="9648" w:type="dxa"/>
            <w:gridSpan w:val="2"/>
            <w:tcBorders>
              <w:top w:val="single" w:sz="4" w:space="0" w:color="auto"/>
            </w:tcBorders>
          </w:tcPr>
          <w:p w:rsidR="004930CA" w:rsidRPr="00AF2262" w:rsidRDefault="004930CA" w:rsidP="001B1D5C">
            <w:pPr>
              <w:rPr>
                <w:rFonts w:ascii="Tahoma" w:hAnsi="Tahoma" w:cs="Tahoma"/>
                <w:sz w:val="20"/>
              </w:rPr>
            </w:pPr>
            <w:r w:rsidRPr="00AF2262">
              <w:rPr>
                <w:rFonts w:ascii="Tahoma" w:hAnsi="Tahoma" w:cs="Tahoma"/>
                <w:sz w:val="20"/>
              </w:rPr>
              <w:lastRenderedPageBreak/>
              <w:t>Podstawa prawna:</w:t>
            </w:r>
          </w:p>
        </w:tc>
      </w:tr>
      <w:tr w:rsidR="004930CA" w:rsidRPr="00AF2262" w:rsidTr="001B1D5C">
        <w:trPr>
          <w:trHeight w:val="421"/>
        </w:trPr>
        <w:tc>
          <w:tcPr>
            <w:tcW w:w="9648" w:type="dxa"/>
            <w:gridSpan w:val="2"/>
            <w:tcBorders>
              <w:bottom w:val="single" w:sz="4" w:space="0" w:color="auto"/>
            </w:tcBorders>
          </w:tcPr>
          <w:p w:rsidR="004930CA" w:rsidRPr="00A837A7" w:rsidRDefault="004930CA" w:rsidP="001B1D5C">
            <w:pPr>
              <w:autoSpaceDE w:val="0"/>
              <w:autoSpaceDN w:val="0"/>
              <w:adjustRightInd w:val="0"/>
              <w:rPr>
                <w:rFonts w:ascii="Arial" w:hAnsi="Arial" w:cs="Arial"/>
                <w:sz w:val="20"/>
              </w:rPr>
            </w:pPr>
            <w:r>
              <w:rPr>
                <w:rFonts w:ascii="Tahoma" w:hAnsi="Tahoma" w:cs="Tahoma"/>
                <w:sz w:val="20"/>
              </w:rPr>
              <w:t>Podstawa prawna: art.</w:t>
            </w:r>
            <w:r w:rsidRPr="00AF2262">
              <w:rPr>
                <w:rFonts w:ascii="Tahoma" w:hAnsi="Tahoma" w:cs="Tahoma"/>
                <w:sz w:val="20"/>
              </w:rPr>
              <w:t xml:space="preserve"> </w:t>
            </w:r>
            <w:r>
              <w:rPr>
                <w:rFonts w:ascii="Tahoma" w:hAnsi="Tahoma" w:cs="Tahoma"/>
                <w:sz w:val="20"/>
              </w:rPr>
              <w:t>56</w:t>
            </w:r>
            <w:r w:rsidRPr="00AF2262">
              <w:rPr>
                <w:rFonts w:ascii="Tahoma" w:hAnsi="Tahoma" w:cs="Tahoma"/>
                <w:sz w:val="20"/>
              </w:rPr>
              <w:t xml:space="preserve"> ust. 1 </w:t>
            </w:r>
            <w:r>
              <w:rPr>
                <w:rFonts w:ascii="Tahoma" w:hAnsi="Tahoma" w:cs="Tahoma"/>
                <w:sz w:val="20"/>
              </w:rPr>
              <w:t>pkt 2 u</w:t>
            </w:r>
            <w:r w:rsidRPr="00AF2262">
              <w:rPr>
                <w:rFonts w:ascii="Tahoma" w:hAnsi="Tahoma" w:cs="Tahoma"/>
                <w:sz w:val="20"/>
              </w:rPr>
              <w:t>stawy o ofercie</w:t>
            </w:r>
          </w:p>
        </w:tc>
      </w:tr>
      <w:tr w:rsidR="004930CA" w:rsidRPr="00AF2262" w:rsidTr="001B1D5C">
        <w:trPr>
          <w:trHeight w:val="347"/>
        </w:trPr>
        <w:tc>
          <w:tcPr>
            <w:tcW w:w="9648" w:type="dxa"/>
            <w:gridSpan w:val="2"/>
            <w:tcBorders>
              <w:top w:val="single" w:sz="4" w:space="0" w:color="auto"/>
            </w:tcBorders>
          </w:tcPr>
          <w:p w:rsidR="004930CA" w:rsidRPr="00AF2262" w:rsidRDefault="004930CA" w:rsidP="001B1D5C">
            <w:pPr>
              <w:rPr>
                <w:rFonts w:ascii="Tahoma" w:hAnsi="Tahoma" w:cs="Tahoma"/>
                <w:sz w:val="20"/>
              </w:rPr>
            </w:pPr>
            <w:r w:rsidRPr="00AF2262">
              <w:rPr>
                <w:rFonts w:ascii="Tahoma" w:hAnsi="Tahoma" w:cs="Tahoma"/>
                <w:sz w:val="20"/>
              </w:rPr>
              <w:t>Podpis osoby upoważnionej do reprezentowania Emitenta:</w:t>
            </w:r>
          </w:p>
        </w:tc>
      </w:tr>
      <w:tr w:rsidR="004930CA" w:rsidRPr="00AF2262" w:rsidTr="001B1D5C">
        <w:trPr>
          <w:trHeight w:val="706"/>
        </w:trPr>
        <w:tc>
          <w:tcPr>
            <w:tcW w:w="9648" w:type="dxa"/>
            <w:gridSpan w:val="2"/>
          </w:tcPr>
          <w:p w:rsidR="004930CA" w:rsidRPr="00AF2262" w:rsidRDefault="004930CA" w:rsidP="001B1D5C">
            <w:pPr>
              <w:rPr>
                <w:rFonts w:ascii="Tahoma" w:hAnsi="Tahoma" w:cs="Tahoma"/>
                <w:b/>
                <w:sz w:val="20"/>
              </w:rPr>
            </w:pPr>
          </w:p>
          <w:p w:rsidR="004930CA" w:rsidRDefault="004930CA" w:rsidP="001B1D5C">
            <w:pPr>
              <w:rPr>
                <w:rFonts w:ascii="Tahoma" w:hAnsi="Tahoma" w:cs="Tahoma"/>
                <w:b/>
                <w:sz w:val="20"/>
              </w:rPr>
            </w:pPr>
            <w:r w:rsidRPr="00AF2262">
              <w:rPr>
                <w:rFonts w:ascii="Tahoma" w:hAnsi="Tahoma" w:cs="Tahoma"/>
                <w:b/>
                <w:sz w:val="20"/>
              </w:rPr>
              <w:tab/>
            </w:r>
            <w:r>
              <w:rPr>
                <w:rFonts w:ascii="Tahoma" w:hAnsi="Tahoma" w:cs="Tahoma"/>
                <w:b/>
                <w:sz w:val="20"/>
              </w:rPr>
              <w:t>Anna Szymańska</w:t>
            </w:r>
          </w:p>
          <w:p w:rsidR="004930CA" w:rsidRDefault="004930CA" w:rsidP="001B1D5C">
            <w:pPr>
              <w:rPr>
                <w:rFonts w:ascii="Tahoma" w:hAnsi="Tahoma" w:cs="Tahoma"/>
                <w:b/>
                <w:sz w:val="20"/>
              </w:rPr>
            </w:pPr>
          </w:p>
          <w:p w:rsidR="004930CA" w:rsidRDefault="004930CA" w:rsidP="001B1D5C">
            <w:pPr>
              <w:rPr>
                <w:rFonts w:ascii="Tahoma" w:hAnsi="Tahoma" w:cs="Tahoma"/>
                <w:b/>
                <w:sz w:val="20"/>
              </w:rPr>
            </w:pPr>
          </w:p>
          <w:p w:rsidR="004930CA" w:rsidRPr="00AF2262" w:rsidRDefault="004930CA" w:rsidP="001B1D5C">
            <w:pPr>
              <w:rPr>
                <w:rFonts w:ascii="Tahoma" w:hAnsi="Tahoma" w:cs="Tahoma"/>
                <w:b/>
                <w:sz w:val="20"/>
              </w:rPr>
            </w:pPr>
            <w:r>
              <w:rPr>
                <w:rFonts w:ascii="Tahoma" w:hAnsi="Tahoma" w:cs="Tahoma"/>
                <w:b/>
                <w:sz w:val="20"/>
              </w:rPr>
              <w:t xml:space="preserve">          Wiceprezes Zarządu</w:t>
            </w:r>
            <w:r w:rsidRPr="00AF2262">
              <w:rPr>
                <w:rFonts w:ascii="Tahoma" w:hAnsi="Tahoma" w:cs="Tahoma"/>
                <w:b/>
                <w:sz w:val="20"/>
              </w:rPr>
              <w:tab/>
            </w:r>
          </w:p>
        </w:tc>
      </w:tr>
    </w:tbl>
    <w:p w:rsidR="004930CA" w:rsidRPr="00DB5BA8" w:rsidRDefault="004930CA" w:rsidP="004930CA">
      <w:pPr>
        <w:rPr>
          <w:rFonts w:ascii="Tahoma" w:hAnsi="Tahoma"/>
          <w:sz w:val="20"/>
        </w:rPr>
      </w:pPr>
    </w:p>
    <w:p w:rsidR="00AF4EC0" w:rsidRPr="00DE4C60" w:rsidRDefault="00AF4EC0" w:rsidP="004930CA">
      <w:pPr>
        <w:spacing w:line="360" w:lineRule="auto"/>
        <w:ind w:right="141"/>
        <w:jc w:val="right"/>
        <w:rPr>
          <w:rFonts w:ascii="Tahoma" w:hAnsi="Tahoma"/>
          <w:sz w:val="20"/>
        </w:rPr>
      </w:pPr>
      <w:bookmarkStart w:id="0" w:name="_GoBack"/>
      <w:bookmarkEnd w:id="0"/>
    </w:p>
    <w:sectPr w:rsidR="00AF4EC0" w:rsidRPr="00DE4C60" w:rsidSect="00316F35">
      <w:footerReference w:type="default" r:id="rId9"/>
      <w:headerReference w:type="first" r:id="rId10"/>
      <w:footerReference w:type="first" r:id="rId11"/>
      <w:pgSz w:w="11906" w:h="16838" w:code="9"/>
      <w:pgMar w:top="1417" w:right="1417" w:bottom="1417" w:left="1417" w:header="510" w:footer="79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F01" w:rsidRDefault="00C51F01">
      <w:r>
        <w:separator/>
      </w:r>
    </w:p>
  </w:endnote>
  <w:endnote w:type="continuationSeparator" w:id="0">
    <w:p w:rsidR="00C51F01" w:rsidRDefault="00C51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28" w:rsidRDefault="004930CA" w:rsidP="00316F35">
    <w:pPr>
      <w:pStyle w:val="Stopka"/>
      <w:jc w:val="right"/>
    </w:pPr>
    <w:r>
      <w:rPr>
        <w:noProof/>
      </w:rPr>
      <w:drawing>
        <wp:anchor distT="0" distB="0" distL="114300" distR="114300" simplePos="0" relativeHeight="251657216" behindDoc="0" locked="0" layoutInCell="1" allowOverlap="1">
          <wp:simplePos x="0" y="0"/>
          <wp:positionH relativeFrom="margin">
            <wp:posOffset>5177155</wp:posOffset>
          </wp:positionH>
          <wp:positionV relativeFrom="margin">
            <wp:posOffset>9038590</wp:posOffset>
          </wp:positionV>
          <wp:extent cx="832485" cy="220345"/>
          <wp:effectExtent l="0" t="0" r="5715" b="8255"/>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485" cy="2203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simplePos x="0" y="0"/>
              <wp:positionH relativeFrom="column">
                <wp:posOffset>5176520</wp:posOffset>
              </wp:positionH>
              <wp:positionV relativeFrom="paragraph">
                <wp:posOffset>-45085</wp:posOffset>
              </wp:positionV>
              <wp:extent cx="635" cy="257175"/>
              <wp:effectExtent l="23495" t="21590" r="23495" b="1651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7175"/>
                      </a:xfrm>
                      <a:prstGeom prst="straightConnector1">
                        <a:avLst/>
                      </a:prstGeom>
                      <a:noFill/>
                      <a:ln w="317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407.6pt;margin-top:-3.55pt;width:.0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D3dyzpmwIAAHcFAAAOAAAAAAAAAAAAAAAAAC4CAABkcnMvZTJv&#10;RG9jLnhtbFBLAQItABQABgAIAAAAIQClkK5j3QAAAAkBAAAPAAAAAAAAAAAAAAAAAPUEAABkcnMv&#10;ZG93bnJldi54bWxQSwUGAAAAAAQABADzAAAA/wUAAAAA&#10;" strokecolor="#f79646" strokeweight="2.5pt">
              <v:shadow color="#868686"/>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28" w:rsidRPr="00C64F4A" w:rsidRDefault="004930CA" w:rsidP="005355AA">
    <w:pPr>
      <w:pStyle w:val="Stopka"/>
      <w:jc w:val="both"/>
      <w:rPr>
        <w:sz w:val="20"/>
      </w:rPr>
    </w:pPr>
    <w:r>
      <w:rPr>
        <w:noProof/>
      </w:rPr>
      <w:drawing>
        <wp:anchor distT="0" distB="0" distL="114300" distR="114300" simplePos="0" relativeHeight="251659264" behindDoc="0" locked="0" layoutInCell="1" allowOverlap="1">
          <wp:simplePos x="0" y="0"/>
          <wp:positionH relativeFrom="margin">
            <wp:posOffset>157480</wp:posOffset>
          </wp:positionH>
          <wp:positionV relativeFrom="margin">
            <wp:posOffset>8947785</wp:posOffset>
          </wp:positionV>
          <wp:extent cx="5601335" cy="711835"/>
          <wp:effectExtent l="0" t="0" r="0" b="0"/>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1335"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0028" w:rsidRPr="00F96658" w:rsidRDefault="00440028" w:rsidP="00EE3C7F">
    <w:pPr>
      <w:pStyle w:val="Stopka"/>
      <w:jc w:val="center"/>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F01" w:rsidRDefault="00C51F01">
      <w:r>
        <w:separator/>
      </w:r>
    </w:p>
  </w:footnote>
  <w:footnote w:type="continuationSeparator" w:id="0">
    <w:p w:rsidR="00C51F01" w:rsidRDefault="00C51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028" w:rsidRPr="00F96658" w:rsidRDefault="004930CA"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6192" behindDoc="0" locked="0" layoutInCell="1" allowOverlap="1">
          <wp:simplePos x="0" y="0"/>
          <wp:positionH relativeFrom="margin">
            <wp:posOffset>-445135</wp:posOffset>
          </wp:positionH>
          <wp:positionV relativeFrom="margin">
            <wp:posOffset>-361950</wp:posOffset>
          </wp:positionV>
          <wp:extent cx="6667500" cy="657225"/>
          <wp:effectExtent l="0" t="0" r="0" b="9525"/>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40ADA"/>
    <w:multiLevelType w:val="hybridMultilevel"/>
    <w:tmpl w:val="1E6EA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68695CE0"/>
    <w:multiLevelType w:val="hybridMultilevel"/>
    <w:tmpl w:val="5A70DA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3074"/>
    <o:shapelayout v:ext="edit">
      <o:rules v:ext="edit">
        <o:r id="V:Rule1" type="connector" idref="#_x0000_s2059"/>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17CFE"/>
    <w:rsid w:val="00044E15"/>
    <w:rsid w:val="000B7EA0"/>
    <w:rsid w:val="000C14F5"/>
    <w:rsid w:val="000E135A"/>
    <w:rsid w:val="000E1B25"/>
    <w:rsid w:val="000F1307"/>
    <w:rsid w:val="00136B0C"/>
    <w:rsid w:val="00152C87"/>
    <w:rsid w:val="001614BF"/>
    <w:rsid w:val="00184433"/>
    <w:rsid w:val="001849EF"/>
    <w:rsid w:val="00193D4F"/>
    <w:rsid w:val="001D5C4A"/>
    <w:rsid w:val="001F01CC"/>
    <w:rsid w:val="00236C4E"/>
    <w:rsid w:val="002436FA"/>
    <w:rsid w:val="0026350A"/>
    <w:rsid w:val="00271F64"/>
    <w:rsid w:val="002E3279"/>
    <w:rsid w:val="00305B01"/>
    <w:rsid w:val="00314CAB"/>
    <w:rsid w:val="00316F35"/>
    <w:rsid w:val="003363A5"/>
    <w:rsid w:val="0035052B"/>
    <w:rsid w:val="003659F5"/>
    <w:rsid w:val="003A6A0A"/>
    <w:rsid w:val="003C202F"/>
    <w:rsid w:val="003D7D15"/>
    <w:rsid w:val="003E75F3"/>
    <w:rsid w:val="004152B4"/>
    <w:rsid w:val="0041714C"/>
    <w:rsid w:val="00420A43"/>
    <w:rsid w:val="00440028"/>
    <w:rsid w:val="004426BB"/>
    <w:rsid w:val="00484E30"/>
    <w:rsid w:val="004930CA"/>
    <w:rsid w:val="004C0763"/>
    <w:rsid w:val="004C47BF"/>
    <w:rsid w:val="00502E50"/>
    <w:rsid w:val="00516753"/>
    <w:rsid w:val="005355AA"/>
    <w:rsid w:val="0054662D"/>
    <w:rsid w:val="005B344C"/>
    <w:rsid w:val="005C3731"/>
    <w:rsid w:val="005C4DE2"/>
    <w:rsid w:val="005F2DD0"/>
    <w:rsid w:val="0061150D"/>
    <w:rsid w:val="00625B6A"/>
    <w:rsid w:val="00655B6C"/>
    <w:rsid w:val="006666EE"/>
    <w:rsid w:val="00670E24"/>
    <w:rsid w:val="00680DE1"/>
    <w:rsid w:val="007140B9"/>
    <w:rsid w:val="00734D18"/>
    <w:rsid w:val="007720B4"/>
    <w:rsid w:val="007B2C02"/>
    <w:rsid w:val="007C5AC2"/>
    <w:rsid w:val="00813B4D"/>
    <w:rsid w:val="00876DA3"/>
    <w:rsid w:val="008B5665"/>
    <w:rsid w:val="008C4BA4"/>
    <w:rsid w:val="008D1A31"/>
    <w:rsid w:val="008E1887"/>
    <w:rsid w:val="008E3AE7"/>
    <w:rsid w:val="008E6647"/>
    <w:rsid w:val="008E7260"/>
    <w:rsid w:val="00917AE0"/>
    <w:rsid w:val="0094701D"/>
    <w:rsid w:val="00954AEA"/>
    <w:rsid w:val="00960AD6"/>
    <w:rsid w:val="009906DA"/>
    <w:rsid w:val="00993E76"/>
    <w:rsid w:val="00995336"/>
    <w:rsid w:val="009B4409"/>
    <w:rsid w:val="009C15C6"/>
    <w:rsid w:val="009C59B1"/>
    <w:rsid w:val="009C5CE3"/>
    <w:rsid w:val="009D09CE"/>
    <w:rsid w:val="009F14F1"/>
    <w:rsid w:val="00A079CA"/>
    <w:rsid w:val="00A14A0C"/>
    <w:rsid w:val="00A6694E"/>
    <w:rsid w:val="00A75EA2"/>
    <w:rsid w:val="00A9685C"/>
    <w:rsid w:val="00AB5D23"/>
    <w:rsid w:val="00AD0578"/>
    <w:rsid w:val="00AD3C31"/>
    <w:rsid w:val="00AD3E54"/>
    <w:rsid w:val="00AE5FCD"/>
    <w:rsid w:val="00AF4EC0"/>
    <w:rsid w:val="00B069E1"/>
    <w:rsid w:val="00B22FD6"/>
    <w:rsid w:val="00B31D58"/>
    <w:rsid w:val="00B344B2"/>
    <w:rsid w:val="00B37C88"/>
    <w:rsid w:val="00B660C3"/>
    <w:rsid w:val="00B83CCA"/>
    <w:rsid w:val="00B96D3A"/>
    <w:rsid w:val="00BA45B1"/>
    <w:rsid w:val="00BF1F7F"/>
    <w:rsid w:val="00BF2103"/>
    <w:rsid w:val="00BF2427"/>
    <w:rsid w:val="00BF78DA"/>
    <w:rsid w:val="00C047FB"/>
    <w:rsid w:val="00C134A1"/>
    <w:rsid w:val="00C23686"/>
    <w:rsid w:val="00C456C6"/>
    <w:rsid w:val="00C51F01"/>
    <w:rsid w:val="00C64F4A"/>
    <w:rsid w:val="00C92427"/>
    <w:rsid w:val="00CE6E7F"/>
    <w:rsid w:val="00D010A3"/>
    <w:rsid w:val="00D27627"/>
    <w:rsid w:val="00D30065"/>
    <w:rsid w:val="00D41ED7"/>
    <w:rsid w:val="00D610FE"/>
    <w:rsid w:val="00D9553C"/>
    <w:rsid w:val="00DB0DF4"/>
    <w:rsid w:val="00DB5BA8"/>
    <w:rsid w:val="00DC382E"/>
    <w:rsid w:val="00DE4C60"/>
    <w:rsid w:val="00DF6E3B"/>
    <w:rsid w:val="00E436CD"/>
    <w:rsid w:val="00E75F8F"/>
    <w:rsid w:val="00EA2FDE"/>
    <w:rsid w:val="00EC18EB"/>
    <w:rsid w:val="00EE3C7F"/>
    <w:rsid w:val="00F22F9A"/>
    <w:rsid w:val="00F47424"/>
    <w:rsid w:val="00F50460"/>
    <w:rsid w:val="00F80B6B"/>
    <w:rsid w:val="00F833B8"/>
    <w:rsid w:val="00F96658"/>
    <w:rsid w:val="00FA0CC3"/>
    <w:rsid w:val="00FA6596"/>
    <w:rsid w:val="00FA6C42"/>
    <w:rsid w:val="00FB51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link w:val="Tekstdymka"/>
    <w:rsid w:val="005C3731"/>
    <w:rPr>
      <w:rFonts w:ascii="Tahoma" w:hAnsi="Tahoma" w:cs="Tahoma"/>
      <w:sz w:val="16"/>
      <w:szCs w:val="16"/>
    </w:rPr>
  </w:style>
  <w:style w:type="character" w:styleId="Pogrubienie">
    <w:name w:val="Strong"/>
    <w:uiPriority w:val="22"/>
    <w:qFormat/>
    <w:rsid w:val="0041714C"/>
    <w:rPr>
      <w:b/>
      <w:bCs/>
    </w:rPr>
  </w:style>
  <w:style w:type="character" w:customStyle="1" w:styleId="apple-converted-space">
    <w:name w:val="apple-converted-space"/>
    <w:rsid w:val="004171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link w:val="Tekstdymka"/>
    <w:rsid w:val="005C3731"/>
    <w:rPr>
      <w:rFonts w:ascii="Tahoma" w:hAnsi="Tahoma" w:cs="Tahoma"/>
      <w:sz w:val="16"/>
      <w:szCs w:val="16"/>
    </w:rPr>
  </w:style>
  <w:style w:type="character" w:styleId="Pogrubienie">
    <w:name w:val="Strong"/>
    <w:uiPriority w:val="22"/>
    <w:qFormat/>
    <w:rsid w:val="0041714C"/>
    <w:rPr>
      <w:b/>
      <w:bCs/>
    </w:rPr>
  </w:style>
  <w:style w:type="character" w:customStyle="1" w:styleId="apple-converted-space">
    <w:name w:val="apple-converted-space"/>
    <w:rsid w:val="00417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72641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3B05C-1813-4898-9C09-90AAF75D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nowy wzór listownik</Template>
  <TotalTime>1</TotalTime>
  <Pages>2</Pages>
  <Words>449</Words>
  <Characters>2694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Piechowiak, Błażej</cp:lastModifiedBy>
  <cp:revision>2</cp:revision>
  <cp:lastPrinted>2012-05-24T10:22:00Z</cp:lastPrinted>
  <dcterms:created xsi:type="dcterms:W3CDTF">2012-08-16T07:29:00Z</dcterms:created>
  <dcterms:modified xsi:type="dcterms:W3CDTF">2012-08-16T07:29:00Z</dcterms:modified>
</cp:coreProperties>
</file>