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A2" w:rsidRDefault="00A75EA2" w:rsidP="00A75EA2">
      <w:pPr>
        <w:jc w:val="right"/>
        <w:rPr>
          <w:rFonts w:ascii="Tahoma" w:hAnsi="Tahoma" w:cs="Tahoma"/>
          <w:sz w:val="20"/>
        </w:rPr>
      </w:pPr>
    </w:p>
    <w:p w:rsidR="00A75EA2" w:rsidRDefault="00A75EA2" w:rsidP="00A75EA2">
      <w:pPr>
        <w:jc w:val="right"/>
        <w:rPr>
          <w:rFonts w:ascii="Tahoma" w:hAnsi="Tahoma" w:cs="Tahoma"/>
          <w:sz w:val="20"/>
        </w:rPr>
      </w:pPr>
    </w:p>
    <w:p w:rsidR="00394E2C" w:rsidRPr="00AF2262" w:rsidRDefault="00394E2C" w:rsidP="00394E2C">
      <w:pPr>
        <w:jc w:val="right"/>
        <w:rPr>
          <w:rFonts w:ascii="Tahoma" w:hAnsi="Tahoma"/>
          <w:sz w:val="22"/>
          <w:szCs w:val="22"/>
        </w:rPr>
      </w:pPr>
      <w:r w:rsidRPr="00AF2262">
        <w:rPr>
          <w:rFonts w:ascii="Tahoma" w:hAnsi="Tahoma"/>
          <w:sz w:val="22"/>
          <w:szCs w:val="22"/>
        </w:rPr>
        <w:t xml:space="preserve">Poznań,  </w:t>
      </w:r>
      <w:r w:rsidR="00BA47E2">
        <w:rPr>
          <w:rFonts w:ascii="Tahoma" w:hAnsi="Tahoma"/>
          <w:sz w:val="22"/>
          <w:szCs w:val="22"/>
        </w:rPr>
        <w:t xml:space="preserve">dnia </w:t>
      </w:r>
      <w:r w:rsidR="004A703D">
        <w:rPr>
          <w:rFonts w:ascii="Tahoma" w:hAnsi="Tahoma"/>
          <w:sz w:val="22"/>
          <w:szCs w:val="22"/>
        </w:rPr>
        <w:t>24 czerwca 2014</w:t>
      </w:r>
      <w:r>
        <w:rPr>
          <w:rFonts w:ascii="Tahoma" w:hAnsi="Tahoma"/>
          <w:sz w:val="22"/>
          <w:szCs w:val="22"/>
        </w:rPr>
        <w:t xml:space="preserve"> r.</w:t>
      </w:r>
    </w:p>
    <w:p w:rsidR="00394E2C" w:rsidRPr="00AF2262" w:rsidRDefault="00394E2C" w:rsidP="00394E2C">
      <w:pPr>
        <w:jc w:val="right"/>
        <w:rPr>
          <w:rFonts w:ascii="Tahoma" w:hAnsi="Tahoma"/>
          <w:sz w:val="22"/>
          <w:szCs w:val="22"/>
        </w:rPr>
      </w:pPr>
    </w:p>
    <w:p w:rsidR="00394E2C" w:rsidRPr="00AF2262" w:rsidRDefault="00394E2C" w:rsidP="00394E2C">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8540"/>
      </w:tblGrid>
      <w:tr w:rsidR="00394E2C" w:rsidRPr="00AF2262" w:rsidTr="00BA3E63">
        <w:trPr>
          <w:trHeight w:val="851"/>
        </w:trPr>
        <w:tc>
          <w:tcPr>
            <w:tcW w:w="1108" w:type="dxa"/>
          </w:tcPr>
          <w:p w:rsidR="00394E2C" w:rsidRPr="00AF2262" w:rsidRDefault="00394E2C" w:rsidP="00BA3E63">
            <w:pPr>
              <w:rPr>
                <w:rFonts w:ascii="Tahoma" w:hAnsi="Tahoma" w:cs="Tahoma"/>
                <w:sz w:val="20"/>
              </w:rPr>
            </w:pPr>
            <w:r w:rsidRPr="00AF2262">
              <w:rPr>
                <w:rFonts w:ascii="Tahoma" w:hAnsi="Tahoma" w:cs="Tahoma"/>
                <w:sz w:val="20"/>
              </w:rPr>
              <w:t>Adresaci:</w:t>
            </w:r>
          </w:p>
        </w:tc>
        <w:tc>
          <w:tcPr>
            <w:tcW w:w="8540" w:type="dxa"/>
          </w:tcPr>
          <w:p w:rsidR="00394E2C" w:rsidRPr="00AF2262" w:rsidRDefault="00394E2C" w:rsidP="00BA3E63">
            <w:pPr>
              <w:ind w:left="567" w:hanging="567"/>
              <w:rPr>
                <w:rFonts w:ascii="Tahoma" w:hAnsi="Tahoma"/>
                <w:noProof/>
                <w:sz w:val="20"/>
              </w:rPr>
            </w:pPr>
            <w:r w:rsidRPr="00AF2262">
              <w:rPr>
                <w:rFonts w:ascii="Tahoma" w:hAnsi="Tahoma"/>
                <w:noProof/>
                <w:sz w:val="20"/>
              </w:rPr>
              <w:t>Kancelaria Publiczna KNF</w:t>
            </w:r>
          </w:p>
          <w:p w:rsidR="00394E2C" w:rsidRPr="00AF2262" w:rsidRDefault="00394E2C" w:rsidP="00BA3E63">
            <w:pPr>
              <w:ind w:left="567" w:hanging="567"/>
              <w:rPr>
                <w:rFonts w:ascii="Tahoma" w:hAnsi="Tahoma"/>
                <w:noProof/>
                <w:sz w:val="20"/>
              </w:rPr>
            </w:pPr>
            <w:r w:rsidRPr="00AF2262">
              <w:rPr>
                <w:rFonts w:ascii="Tahoma" w:hAnsi="Tahoma"/>
                <w:noProof/>
                <w:sz w:val="20"/>
              </w:rPr>
              <w:t>Dział Emitentów GPW</w:t>
            </w:r>
          </w:p>
          <w:p w:rsidR="00394E2C" w:rsidRPr="00AF2262" w:rsidRDefault="00394E2C" w:rsidP="00BA3E63">
            <w:pPr>
              <w:ind w:left="567" w:hanging="567"/>
              <w:rPr>
                <w:rFonts w:ascii="Tahoma" w:hAnsi="Tahoma"/>
                <w:noProof/>
                <w:sz w:val="20"/>
              </w:rPr>
            </w:pPr>
            <w:r w:rsidRPr="00AF2262">
              <w:rPr>
                <w:rFonts w:ascii="Tahoma" w:hAnsi="Tahoma"/>
                <w:noProof/>
                <w:sz w:val="20"/>
              </w:rPr>
              <w:t>Dział Emitencki i Notowań PAP</w:t>
            </w:r>
          </w:p>
          <w:p w:rsidR="00394E2C" w:rsidRPr="00AF2262" w:rsidRDefault="00394E2C" w:rsidP="00BA3E63">
            <w:pPr>
              <w:rPr>
                <w:rFonts w:ascii="Tahoma" w:hAnsi="Tahoma" w:cs="Tahoma"/>
                <w:sz w:val="20"/>
              </w:rPr>
            </w:pPr>
          </w:p>
        </w:tc>
      </w:tr>
      <w:tr w:rsidR="00394E2C" w:rsidRPr="00AF2262" w:rsidTr="00BA3E63">
        <w:trPr>
          <w:trHeight w:val="592"/>
        </w:trPr>
        <w:tc>
          <w:tcPr>
            <w:tcW w:w="1108" w:type="dxa"/>
            <w:tcBorders>
              <w:top w:val="single" w:sz="4" w:space="0" w:color="auto"/>
              <w:bottom w:val="single" w:sz="4" w:space="0" w:color="auto"/>
            </w:tcBorders>
            <w:vAlign w:val="center"/>
          </w:tcPr>
          <w:p w:rsidR="00394E2C" w:rsidRPr="00AF2262" w:rsidRDefault="00394E2C" w:rsidP="00BA3E63">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394E2C" w:rsidRPr="003F34CE" w:rsidRDefault="00CA3864" w:rsidP="00CA3864">
            <w:pPr>
              <w:rPr>
                <w:rFonts w:ascii="Tahoma" w:hAnsi="Tahoma" w:cs="Tahoma"/>
                <w:b/>
                <w:sz w:val="20"/>
              </w:rPr>
            </w:pPr>
            <w:r>
              <w:rPr>
                <w:rFonts w:ascii="Tahoma" w:hAnsi="Tahoma" w:cs="Tahoma"/>
                <w:b/>
                <w:sz w:val="20"/>
              </w:rPr>
              <w:t xml:space="preserve">Podpisanie warunkowych umów sprzedaży udziałów spółki Audiobook.pl Sp. z o.o.  oraz planowana nowa inwestycja kapitałowa </w:t>
            </w:r>
          </w:p>
        </w:tc>
      </w:tr>
      <w:tr w:rsidR="00394E2C" w:rsidRPr="00AF2262" w:rsidTr="00BA3E63">
        <w:trPr>
          <w:trHeight w:val="424"/>
        </w:trPr>
        <w:tc>
          <w:tcPr>
            <w:tcW w:w="9648" w:type="dxa"/>
            <w:gridSpan w:val="2"/>
            <w:tcBorders>
              <w:top w:val="single" w:sz="4" w:space="0" w:color="auto"/>
            </w:tcBorders>
            <w:vAlign w:val="center"/>
          </w:tcPr>
          <w:p w:rsidR="00394E2C" w:rsidRPr="00AF2262" w:rsidRDefault="00394E2C" w:rsidP="00CA3864">
            <w:pPr>
              <w:rPr>
                <w:rFonts w:ascii="Tahoma" w:hAnsi="Tahoma" w:cs="Tahoma"/>
                <w:b/>
                <w:sz w:val="20"/>
              </w:rPr>
            </w:pPr>
            <w:r w:rsidRPr="00AF2262">
              <w:rPr>
                <w:rFonts w:ascii="Tahoma" w:hAnsi="Tahoma" w:cs="Tahoma"/>
                <w:b/>
                <w:sz w:val="20"/>
              </w:rPr>
              <w:t xml:space="preserve">Raport bieżący nr </w:t>
            </w:r>
            <w:r w:rsidR="004A703D">
              <w:rPr>
                <w:rFonts w:ascii="Tahoma" w:hAnsi="Tahoma" w:cs="Tahoma"/>
                <w:b/>
                <w:sz w:val="20"/>
              </w:rPr>
              <w:t>2</w:t>
            </w:r>
            <w:r w:rsidR="00CA3864">
              <w:rPr>
                <w:rFonts w:ascii="Tahoma" w:hAnsi="Tahoma" w:cs="Tahoma"/>
                <w:b/>
                <w:sz w:val="20"/>
              </w:rPr>
              <w:t>2</w:t>
            </w:r>
            <w:r w:rsidR="00A5526B">
              <w:rPr>
                <w:rFonts w:ascii="Tahoma" w:hAnsi="Tahoma" w:cs="Tahoma"/>
                <w:b/>
                <w:sz w:val="20"/>
              </w:rPr>
              <w:t>/201</w:t>
            </w:r>
            <w:r w:rsidR="004A703D">
              <w:rPr>
                <w:rFonts w:ascii="Tahoma" w:hAnsi="Tahoma" w:cs="Tahoma"/>
                <w:b/>
                <w:sz w:val="20"/>
              </w:rPr>
              <w:t>4</w:t>
            </w:r>
          </w:p>
        </w:tc>
      </w:tr>
      <w:tr w:rsidR="00394E2C" w:rsidRPr="0053552F" w:rsidTr="00BA3E63">
        <w:trPr>
          <w:trHeight w:val="524"/>
        </w:trPr>
        <w:tc>
          <w:tcPr>
            <w:tcW w:w="9648" w:type="dxa"/>
            <w:gridSpan w:val="2"/>
            <w:tcBorders>
              <w:bottom w:val="single" w:sz="4" w:space="0" w:color="auto"/>
            </w:tcBorders>
          </w:tcPr>
          <w:p w:rsidR="001A6F7A" w:rsidRDefault="001A6F7A" w:rsidP="001A6F7A">
            <w:pPr>
              <w:jc w:val="both"/>
              <w:rPr>
                <w:rFonts w:ascii="Tahoma" w:hAnsi="Tahoma" w:cs="Tahoma"/>
                <w:sz w:val="20"/>
              </w:rPr>
            </w:pPr>
          </w:p>
          <w:p w:rsidR="00CA3864" w:rsidRDefault="00CA3864" w:rsidP="00CA3864">
            <w:pPr>
              <w:jc w:val="both"/>
              <w:rPr>
                <w:rFonts w:ascii="Tahoma" w:hAnsi="Tahoma" w:cs="Tahoma"/>
                <w:sz w:val="20"/>
              </w:rPr>
            </w:pPr>
            <w:r w:rsidRPr="00A12441">
              <w:rPr>
                <w:rFonts w:ascii="Tahoma" w:hAnsi="Tahoma" w:cs="Tahoma"/>
                <w:sz w:val="20"/>
              </w:rPr>
              <w:t xml:space="preserve">Zarząd DGA S.A. informuje, że w dniu 23 czerwca 2014 r. DGA S.A. oraz spółka zależna Life Fund Sp. z o.o. podpisały warunkowe umowy sprzedaży wszystkich udziałów spółki Audiobook.pl Sp. z o.o. </w:t>
            </w:r>
          </w:p>
          <w:p w:rsidR="00CA3864" w:rsidRPr="00A12441" w:rsidRDefault="00CA3864" w:rsidP="00CA3864">
            <w:pPr>
              <w:jc w:val="both"/>
              <w:rPr>
                <w:rFonts w:ascii="Tahoma" w:hAnsi="Tahoma" w:cs="Tahoma"/>
                <w:sz w:val="20"/>
              </w:rPr>
            </w:pPr>
          </w:p>
          <w:p w:rsidR="00CA3864" w:rsidRDefault="00CA3864" w:rsidP="00CA3864">
            <w:pPr>
              <w:jc w:val="both"/>
              <w:rPr>
                <w:rFonts w:ascii="Tahoma" w:hAnsi="Tahoma" w:cs="Tahoma"/>
                <w:b/>
                <w:sz w:val="20"/>
              </w:rPr>
            </w:pPr>
            <w:r w:rsidRPr="00A12441">
              <w:rPr>
                <w:rFonts w:ascii="Tahoma" w:hAnsi="Tahoma" w:cs="Tahoma"/>
                <w:sz w:val="20"/>
              </w:rPr>
              <w:t>I. Na mocy umowy DGA S.A. sprzedała firmie Bezkartek.pl S.A.  800 udziałów o wartości nominalnej 700 zł każd</w:t>
            </w:r>
            <w:r>
              <w:rPr>
                <w:rFonts w:ascii="Tahoma" w:hAnsi="Tahoma" w:cs="Tahoma"/>
                <w:sz w:val="20"/>
              </w:rPr>
              <w:t>y</w:t>
            </w:r>
            <w:r w:rsidRPr="00A12441">
              <w:rPr>
                <w:rFonts w:ascii="Tahoma" w:hAnsi="Tahoma" w:cs="Tahoma"/>
                <w:sz w:val="20"/>
              </w:rPr>
              <w:t xml:space="preserve"> i łącznej wartości nominalnej 560.000 zł w spółce Audiobook.pl Sp. z o.o. </w:t>
            </w:r>
            <w:r w:rsidRPr="00F31EB3">
              <w:rPr>
                <w:rFonts w:ascii="Tahoma" w:hAnsi="Tahoma" w:cs="Tahoma"/>
                <w:b/>
                <w:sz w:val="20"/>
              </w:rPr>
              <w:t>za łączną cenę 828.800 zł.</w:t>
            </w:r>
          </w:p>
          <w:p w:rsidR="00CA3864" w:rsidRPr="00F31EB3" w:rsidRDefault="00CA3864" w:rsidP="00CA3864">
            <w:pPr>
              <w:jc w:val="both"/>
              <w:rPr>
                <w:rFonts w:ascii="Tahoma" w:hAnsi="Tahoma" w:cs="Tahoma"/>
                <w:b/>
                <w:sz w:val="20"/>
              </w:rPr>
            </w:pPr>
          </w:p>
          <w:p w:rsidR="00CA3864" w:rsidRDefault="00CA3864" w:rsidP="00CA3864">
            <w:pPr>
              <w:jc w:val="both"/>
              <w:rPr>
                <w:rFonts w:ascii="Tahoma" w:hAnsi="Tahoma" w:cs="Tahoma"/>
                <w:sz w:val="20"/>
              </w:rPr>
            </w:pPr>
            <w:r w:rsidRPr="00A12441">
              <w:rPr>
                <w:rFonts w:ascii="Tahoma" w:hAnsi="Tahoma" w:cs="Tahoma"/>
                <w:sz w:val="20"/>
              </w:rPr>
              <w:t>II. Na mocy umowy spółka zależna Life Fund Sp. z o.o. sprzedała firmie Bezkartek.pl S.A.  500 udziałów o wartości nominalnej 700 zł każd</w:t>
            </w:r>
            <w:r>
              <w:rPr>
                <w:rFonts w:ascii="Tahoma" w:hAnsi="Tahoma" w:cs="Tahoma"/>
                <w:sz w:val="20"/>
              </w:rPr>
              <w:t>y</w:t>
            </w:r>
            <w:r w:rsidRPr="00A12441">
              <w:rPr>
                <w:rFonts w:ascii="Tahoma" w:hAnsi="Tahoma" w:cs="Tahoma"/>
                <w:sz w:val="20"/>
              </w:rPr>
              <w:t xml:space="preserve"> i łącznej wartości nominalnej 350.000 zł w spółce Audiobook.pl Sp. z o.o</w:t>
            </w:r>
            <w:r w:rsidRPr="00F31EB3">
              <w:rPr>
                <w:rFonts w:ascii="Tahoma" w:hAnsi="Tahoma" w:cs="Tahoma"/>
                <w:b/>
                <w:sz w:val="20"/>
              </w:rPr>
              <w:t>. za łączną cenę</w:t>
            </w:r>
            <w:r w:rsidRPr="00A12441">
              <w:rPr>
                <w:rFonts w:ascii="Tahoma" w:hAnsi="Tahoma" w:cs="Tahoma"/>
                <w:sz w:val="20"/>
              </w:rPr>
              <w:t xml:space="preserve"> </w:t>
            </w:r>
            <w:r w:rsidRPr="00F31EB3">
              <w:rPr>
                <w:rFonts w:ascii="Tahoma" w:hAnsi="Tahoma" w:cs="Tahoma"/>
                <w:b/>
                <w:sz w:val="20"/>
              </w:rPr>
              <w:t>514.200</w:t>
            </w:r>
            <w:r w:rsidRPr="00A12441">
              <w:rPr>
                <w:rFonts w:ascii="Tahoma" w:hAnsi="Tahoma" w:cs="Tahoma"/>
                <w:sz w:val="20"/>
              </w:rPr>
              <w:t xml:space="preserve"> </w:t>
            </w:r>
            <w:r w:rsidRPr="00CA3864">
              <w:rPr>
                <w:rFonts w:ascii="Tahoma" w:hAnsi="Tahoma" w:cs="Tahoma"/>
                <w:b/>
                <w:sz w:val="20"/>
              </w:rPr>
              <w:t>zł.</w:t>
            </w:r>
          </w:p>
          <w:p w:rsidR="00CA3864" w:rsidRPr="00A12441" w:rsidRDefault="00CA3864" w:rsidP="00CA3864">
            <w:pPr>
              <w:jc w:val="both"/>
              <w:rPr>
                <w:rFonts w:ascii="Tahoma" w:hAnsi="Tahoma" w:cs="Tahoma"/>
                <w:sz w:val="20"/>
              </w:rPr>
            </w:pPr>
          </w:p>
          <w:p w:rsidR="00CA3864" w:rsidRDefault="00CA3864" w:rsidP="00CA3864">
            <w:pPr>
              <w:jc w:val="both"/>
              <w:rPr>
                <w:rFonts w:ascii="Tahoma" w:hAnsi="Tahoma" w:cs="Tahoma"/>
                <w:sz w:val="20"/>
              </w:rPr>
            </w:pPr>
            <w:r w:rsidRPr="00A12441">
              <w:rPr>
                <w:rFonts w:ascii="Tahoma" w:hAnsi="Tahoma" w:cs="Tahoma"/>
                <w:sz w:val="20"/>
              </w:rPr>
              <w:t xml:space="preserve">III. Umowy, o których mowa w pkt. I </w:t>
            </w:r>
            <w:proofErr w:type="spellStart"/>
            <w:r w:rsidRPr="00A12441">
              <w:rPr>
                <w:rFonts w:ascii="Tahoma" w:hAnsi="Tahoma" w:cs="Tahoma"/>
                <w:sz w:val="20"/>
              </w:rPr>
              <w:t>i</w:t>
            </w:r>
            <w:proofErr w:type="spellEnd"/>
            <w:r w:rsidRPr="00A12441">
              <w:rPr>
                <w:rFonts w:ascii="Tahoma" w:hAnsi="Tahoma" w:cs="Tahoma"/>
                <w:sz w:val="20"/>
              </w:rPr>
              <w:t xml:space="preserve"> II </w:t>
            </w:r>
            <w:r w:rsidRPr="00F31EB3">
              <w:rPr>
                <w:rFonts w:ascii="Tahoma" w:hAnsi="Tahoma" w:cs="Tahoma"/>
                <w:b/>
                <w:sz w:val="20"/>
                <w:u w:val="single"/>
              </w:rPr>
              <w:t>zawarte zostały pod warunkiem rozwiązującym</w:t>
            </w:r>
            <w:r w:rsidRPr="00A12441">
              <w:rPr>
                <w:rFonts w:ascii="Tahoma" w:hAnsi="Tahoma" w:cs="Tahoma"/>
                <w:sz w:val="20"/>
              </w:rPr>
              <w:t xml:space="preserve">  tj. ulegają rozwiązaniu zaś ich skutki ustają, jeżeli któryś z poniższych warunków nie zostanie spełniony:</w:t>
            </w:r>
          </w:p>
          <w:p w:rsidR="00CA3864" w:rsidRPr="00A12441" w:rsidRDefault="00CA3864" w:rsidP="00CA3864">
            <w:pPr>
              <w:jc w:val="both"/>
              <w:rPr>
                <w:rFonts w:ascii="Tahoma" w:hAnsi="Tahoma" w:cs="Tahoma"/>
                <w:sz w:val="20"/>
              </w:rPr>
            </w:pPr>
          </w:p>
          <w:p w:rsidR="00CA3864" w:rsidRPr="00A12441" w:rsidRDefault="00CA3864" w:rsidP="00CA3864">
            <w:pPr>
              <w:pStyle w:val="tekwzpod"/>
              <w:numPr>
                <w:ilvl w:val="0"/>
                <w:numId w:val="15"/>
              </w:numPr>
              <w:tabs>
                <w:tab w:val="clear" w:pos="822"/>
                <w:tab w:val="clear" w:pos="1417"/>
                <w:tab w:val="left" w:pos="0"/>
              </w:tabs>
              <w:spacing w:after="120" w:line="360" w:lineRule="auto"/>
              <w:ind w:left="567" w:right="97" w:hanging="567"/>
              <w:rPr>
                <w:rFonts w:ascii="Tahoma" w:hAnsi="Tahoma" w:cs="Tahoma"/>
                <w:b/>
                <w:bCs/>
                <w:sz w:val="20"/>
              </w:rPr>
            </w:pPr>
            <w:r w:rsidRPr="00A12441">
              <w:rPr>
                <w:rFonts w:ascii="Tahoma" w:hAnsi="Tahoma" w:cs="Tahoma"/>
                <w:bCs/>
                <w:sz w:val="20"/>
              </w:rPr>
              <w:t>w dniu 24 czerwca 2014 r. odbędzie się Walne Zgromadzenie Akcjonariuszy spółki Bezkartek.pl S.A.,</w:t>
            </w:r>
          </w:p>
          <w:p w:rsidR="00CA3864" w:rsidRPr="00A12441" w:rsidRDefault="00CA3864" w:rsidP="00CA3864">
            <w:pPr>
              <w:pStyle w:val="tekwzpod"/>
              <w:numPr>
                <w:ilvl w:val="0"/>
                <w:numId w:val="15"/>
              </w:numPr>
              <w:tabs>
                <w:tab w:val="clear" w:pos="822"/>
                <w:tab w:val="clear" w:pos="1417"/>
                <w:tab w:val="left" w:pos="0"/>
              </w:tabs>
              <w:spacing w:after="120" w:line="360" w:lineRule="auto"/>
              <w:ind w:left="567" w:right="97" w:hanging="567"/>
              <w:rPr>
                <w:rFonts w:ascii="Tahoma" w:hAnsi="Tahoma" w:cs="Tahoma"/>
                <w:b/>
                <w:bCs/>
                <w:sz w:val="20"/>
              </w:rPr>
            </w:pPr>
            <w:r w:rsidRPr="00A12441">
              <w:rPr>
                <w:rFonts w:ascii="Tahoma" w:hAnsi="Tahoma" w:cs="Tahoma"/>
                <w:bCs/>
                <w:sz w:val="20"/>
              </w:rPr>
              <w:t>Walne Zgromadzenie Akcjonariuszy spółki Bezkartek</w:t>
            </w:r>
            <w:r>
              <w:rPr>
                <w:rFonts w:ascii="Tahoma" w:hAnsi="Tahoma" w:cs="Tahoma"/>
                <w:bCs/>
                <w:sz w:val="20"/>
              </w:rPr>
              <w:t>.pl S.A., o którym mowa w lit. a)</w:t>
            </w:r>
            <w:r w:rsidRPr="00A12441">
              <w:rPr>
                <w:rFonts w:ascii="Tahoma" w:hAnsi="Tahoma" w:cs="Tahoma"/>
                <w:bCs/>
                <w:sz w:val="20"/>
              </w:rPr>
              <w:t xml:space="preserve"> powyżej, dokona podniesienia kapitału zakładowego spółki o kwotę 1.343.000 PLN poprzez emisję 1.343.000 nowych akcji,</w:t>
            </w:r>
          </w:p>
          <w:p w:rsidR="00CA3864" w:rsidRPr="00A12441" w:rsidRDefault="00CA3864" w:rsidP="00CA3864">
            <w:pPr>
              <w:pStyle w:val="tekwzpod"/>
              <w:numPr>
                <w:ilvl w:val="0"/>
                <w:numId w:val="15"/>
              </w:numPr>
              <w:tabs>
                <w:tab w:val="clear" w:pos="822"/>
                <w:tab w:val="clear" w:pos="1417"/>
                <w:tab w:val="left" w:pos="0"/>
              </w:tabs>
              <w:spacing w:after="120" w:line="360" w:lineRule="auto"/>
              <w:ind w:left="567" w:right="97" w:hanging="567"/>
              <w:rPr>
                <w:rFonts w:ascii="Tahoma" w:hAnsi="Tahoma" w:cs="Tahoma"/>
                <w:b/>
                <w:bCs/>
                <w:sz w:val="20"/>
              </w:rPr>
            </w:pPr>
            <w:r w:rsidRPr="00A12441">
              <w:rPr>
                <w:rFonts w:ascii="Tahoma" w:hAnsi="Tahoma" w:cs="Tahoma"/>
                <w:bCs/>
                <w:sz w:val="20"/>
              </w:rPr>
              <w:t>Akcje wyemitowane w ramac</w:t>
            </w:r>
            <w:r>
              <w:rPr>
                <w:rFonts w:ascii="Tahoma" w:hAnsi="Tahoma" w:cs="Tahoma"/>
                <w:bCs/>
                <w:sz w:val="20"/>
              </w:rPr>
              <w:t>h emisji, o której mowa w lit. b)</w:t>
            </w:r>
            <w:r w:rsidRPr="00A12441">
              <w:rPr>
                <w:rFonts w:ascii="Tahoma" w:hAnsi="Tahoma" w:cs="Tahoma"/>
                <w:bCs/>
                <w:sz w:val="20"/>
              </w:rPr>
              <w:t xml:space="preserve"> powyżej, będą akcjami co najmniej tak samo uprzywilejowanymi jak akcje wyemitowane przez spółkę Bezkartek.pl S.A. w dotychczasowych emisjach, w tym zwłaszcza – lecz nie wyłącznie – w zakresie prawa głosu oraz prawa do dywidendy,</w:t>
            </w:r>
          </w:p>
          <w:p w:rsidR="00CA3864" w:rsidRPr="00A12441" w:rsidRDefault="00CA3864" w:rsidP="00CA3864">
            <w:pPr>
              <w:pStyle w:val="tekwzpod"/>
              <w:numPr>
                <w:ilvl w:val="0"/>
                <w:numId w:val="15"/>
              </w:numPr>
              <w:tabs>
                <w:tab w:val="clear" w:pos="822"/>
                <w:tab w:val="clear" w:pos="1417"/>
                <w:tab w:val="left" w:pos="0"/>
              </w:tabs>
              <w:spacing w:after="120" w:line="360" w:lineRule="auto"/>
              <w:ind w:left="567" w:right="97" w:hanging="567"/>
              <w:rPr>
                <w:rFonts w:ascii="Tahoma" w:hAnsi="Tahoma" w:cs="Tahoma"/>
                <w:b/>
                <w:bCs/>
                <w:sz w:val="20"/>
              </w:rPr>
            </w:pPr>
            <w:r w:rsidRPr="00A12441">
              <w:rPr>
                <w:rFonts w:ascii="Tahoma" w:hAnsi="Tahoma" w:cs="Tahoma"/>
                <w:bCs/>
                <w:sz w:val="20"/>
              </w:rPr>
              <w:t xml:space="preserve">Walne Zgromadzenie Akcjonariuszy spółki Bezkartek.pl S.A., o którym mowa w lit. </w:t>
            </w:r>
            <w:r>
              <w:rPr>
                <w:rFonts w:ascii="Tahoma" w:hAnsi="Tahoma" w:cs="Tahoma"/>
                <w:bCs/>
                <w:sz w:val="20"/>
              </w:rPr>
              <w:t>a)</w:t>
            </w:r>
            <w:r w:rsidRPr="00A12441">
              <w:rPr>
                <w:rFonts w:ascii="Tahoma" w:hAnsi="Tahoma" w:cs="Tahoma"/>
                <w:bCs/>
                <w:sz w:val="20"/>
              </w:rPr>
              <w:t xml:space="preserve"> powyżej, nie dokona podniesienia kapitału zakładowego o wartości większej </w:t>
            </w:r>
            <w:r>
              <w:rPr>
                <w:rFonts w:ascii="Tahoma" w:hAnsi="Tahoma" w:cs="Tahoma"/>
                <w:bCs/>
                <w:sz w:val="20"/>
              </w:rPr>
              <w:t>niż określona w lit. b)</w:t>
            </w:r>
            <w:r w:rsidRPr="00A12441">
              <w:rPr>
                <w:rFonts w:ascii="Tahoma" w:hAnsi="Tahoma" w:cs="Tahoma"/>
                <w:bCs/>
                <w:sz w:val="20"/>
              </w:rPr>
              <w:t xml:space="preserve"> powyżej,</w:t>
            </w:r>
          </w:p>
          <w:p w:rsidR="00CA3864" w:rsidRPr="00A12441" w:rsidRDefault="00CA3864" w:rsidP="00CA3864">
            <w:pPr>
              <w:pStyle w:val="tekwzpod"/>
              <w:numPr>
                <w:ilvl w:val="0"/>
                <w:numId w:val="15"/>
              </w:numPr>
              <w:tabs>
                <w:tab w:val="clear" w:pos="822"/>
                <w:tab w:val="clear" w:pos="1417"/>
                <w:tab w:val="left" w:pos="0"/>
              </w:tabs>
              <w:spacing w:after="120" w:line="360" w:lineRule="auto"/>
              <w:ind w:left="567" w:right="97" w:hanging="567"/>
              <w:rPr>
                <w:rFonts w:ascii="Tahoma" w:hAnsi="Tahoma" w:cs="Tahoma"/>
                <w:b/>
                <w:bCs/>
                <w:sz w:val="20"/>
              </w:rPr>
            </w:pPr>
            <w:r w:rsidRPr="00A12441">
              <w:rPr>
                <w:rFonts w:ascii="Tahoma" w:hAnsi="Tahoma" w:cs="Tahoma"/>
                <w:bCs/>
                <w:sz w:val="20"/>
              </w:rPr>
              <w:t>Całość akcji wyemitowanych w ramac</w:t>
            </w:r>
            <w:r>
              <w:rPr>
                <w:rFonts w:ascii="Tahoma" w:hAnsi="Tahoma" w:cs="Tahoma"/>
                <w:bCs/>
                <w:sz w:val="20"/>
              </w:rPr>
              <w:t>h emisji, o której mowa w lit. b)</w:t>
            </w:r>
            <w:r w:rsidRPr="00A12441">
              <w:rPr>
                <w:rFonts w:ascii="Tahoma" w:hAnsi="Tahoma" w:cs="Tahoma"/>
                <w:bCs/>
                <w:sz w:val="20"/>
              </w:rPr>
              <w:t xml:space="preserve"> powyżej, zostanie objęta przez Spółkę DGA S.A.,</w:t>
            </w:r>
          </w:p>
          <w:p w:rsidR="00CA3864" w:rsidRPr="00A12441" w:rsidRDefault="00CA3864" w:rsidP="00CA3864">
            <w:pPr>
              <w:pStyle w:val="tekwzpod"/>
              <w:numPr>
                <w:ilvl w:val="0"/>
                <w:numId w:val="15"/>
              </w:numPr>
              <w:tabs>
                <w:tab w:val="clear" w:pos="822"/>
                <w:tab w:val="clear" w:pos="1417"/>
                <w:tab w:val="left" w:pos="0"/>
              </w:tabs>
              <w:spacing w:after="120" w:line="360" w:lineRule="auto"/>
              <w:ind w:left="567" w:right="97" w:hanging="567"/>
              <w:rPr>
                <w:rFonts w:ascii="Tahoma" w:hAnsi="Tahoma" w:cs="Tahoma"/>
                <w:b/>
                <w:bCs/>
                <w:sz w:val="20"/>
              </w:rPr>
            </w:pPr>
            <w:r w:rsidRPr="00A12441">
              <w:rPr>
                <w:rFonts w:ascii="Tahoma" w:hAnsi="Tahoma" w:cs="Tahoma"/>
                <w:bCs/>
                <w:sz w:val="20"/>
              </w:rPr>
              <w:t>Walne Zgromadzenie Akcjonariuszy spółki Bezkartek</w:t>
            </w:r>
            <w:r>
              <w:rPr>
                <w:rFonts w:ascii="Tahoma" w:hAnsi="Tahoma" w:cs="Tahoma"/>
                <w:bCs/>
                <w:sz w:val="20"/>
              </w:rPr>
              <w:t>.pl S.A., o którym mowa w lit. a)</w:t>
            </w:r>
            <w:r w:rsidRPr="00A12441">
              <w:rPr>
                <w:rFonts w:ascii="Tahoma" w:hAnsi="Tahoma" w:cs="Tahoma"/>
                <w:bCs/>
                <w:sz w:val="20"/>
              </w:rPr>
              <w:t xml:space="preserve"> powyżej, nie </w:t>
            </w:r>
            <w:r w:rsidRPr="00A12441">
              <w:rPr>
                <w:rFonts w:ascii="Tahoma" w:hAnsi="Tahoma" w:cs="Tahoma"/>
                <w:bCs/>
                <w:sz w:val="20"/>
              </w:rPr>
              <w:lastRenderedPageBreak/>
              <w:t>dokona zmian w porządku obrad Walnego Zgromadzenia Akcjo</w:t>
            </w:r>
            <w:r>
              <w:rPr>
                <w:rFonts w:ascii="Tahoma" w:hAnsi="Tahoma" w:cs="Tahoma"/>
                <w:bCs/>
                <w:sz w:val="20"/>
              </w:rPr>
              <w:t>nariuszy, o którym mowa w lit. a)</w:t>
            </w:r>
            <w:r w:rsidRPr="00A12441">
              <w:rPr>
                <w:rFonts w:ascii="Tahoma" w:hAnsi="Tahoma" w:cs="Tahoma"/>
                <w:bCs/>
                <w:sz w:val="20"/>
              </w:rPr>
              <w:t xml:space="preserve"> powyżej, w tym zwłaszcza nie wprowadzi pod głosowanie zmian w dokumentach korporacyjnych spółki (statut, regulaminy etc.), które umniejszałyby bądź pogorszały zakres praw lub obowiązków akcjonariusza obejmującego akcje w ramac</w:t>
            </w:r>
            <w:r>
              <w:rPr>
                <w:rFonts w:ascii="Tahoma" w:hAnsi="Tahoma" w:cs="Tahoma"/>
                <w:bCs/>
                <w:sz w:val="20"/>
              </w:rPr>
              <w:t>h emisji, o której mowa w lit. b)</w:t>
            </w:r>
            <w:r w:rsidRPr="00A12441">
              <w:rPr>
                <w:rFonts w:ascii="Tahoma" w:hAnsi="Tahoma" w:cs="Tahoma"/>
                <w:bCs/>
                <w:sz w:val="20"/>
              </w:rPr>
              <w:t xml:space="preserve"> powyżej.</w:t>
            </w:r>
          </w:p>
          <w:p w:rsidR="00CA3864" w:rsidRDefault="00CA3864" w:rsidP="00CA3864">
            <w:pPr>
              <w:jc w:val="both"/>
              <w:rPr>
                <w:rFonts w:ascii="Tahoma" w:hAnsi="Tahoma" w:cs="Tahoma"/>
                <w:sz w:val="20"/>
              </w:rPr>
            </w:pPr>
            <w:r>
              <w:rPr>
                <w:rFonts w:ascii="Tahoma" w:hAnsi="Tahoma" w:cs="Tahoma"/>
                <w:sz w:val="20"/>
              </w:rPr>
              <w:t>IV. Zarząd DGA S.A. informuje, że wszystkie warunki oprócz warunku wymienionego w punkcie III. e) powyżej zostały spełnione w dniu 24 czerwca 2014 r.</w:t>
            </w:r>
          </w:p>
          <w:p w:rsidR="00CA3864" w:rsidRDefault="00CA3864" w:rsidP="00CA3864">
            <w:pPr>
              <w:jc w:val="both"/>
              <w:rPr>
                <w:rFonts w:ascii="Tahoma" w:hAnsi="Tahoma" w:cs="Tahoma"/>
                <w:sz w:val="20"/>
              </w:rPr>
            </w:pPr>
          </w:p>
          <w:p w:rsidR="00CA3864" w:rsidRDefault="00CA3864" w:rsidP="00CA3864">
            <w:pPr>
              <w:jc w:val="both"/>
              <w:rPr>
                <w:rFonts w:ascii="Tahoma" w:hAnsi="Tahoma" w:cs="Tahoma"/>
                <w:b/>
                <w:sz w:val="20"/>
              </w:rPr>
            </w:pPr>
            <w:r>
              <w:rPr>
                <w:rFonts w:ascii="Tahoma" w:hAnsi="Tahoma" w:cs="Tahoma"/>
                <w:sz w:val="20"/>
              </w:rPr>
              <w:t xml:space="preserve">Na objęcie przez DGA S.A. emisji nowych akcji spółki Bezkartek.pl S.A., o której mowa w punkcie III. e) powyżej wyznaczono termin </w:t>
            </w:r>
            <w:r w:rsidRPr="00F31EB3">
              <w:rPr>
                <w:rFonts w:ascii="Tahoma" w:hAnsi="Tahoma" w:cs="Tahoma"/>
                <w:b/>
                <w:sz w:val="20"/>
              </w:rPr>
              <w:t>nie późniejszy niż 31 lipca 2014 r.</w:t>
            </w:r>
          </w:p>
          <w:p w:rsidR="00CA3864" w:rsidRDefault="00CA3864" w:rsidP="00CA3864">
            <w:pPr>
              <w:jc w:val="both"/>
              <w:rPr>
                <w:rFonts w:ascii="Tahoma" w:hAnsi="Tahoma" w:cs="Tahoma"/>
                <w:b/>
                <w:sz w:val="20"/>
              </w:rPr>
            </w:pPr>
          </w:p>
          <w:p w:rsidR="00CA3864" w:rsidRDefault="00CA3864" w:rsidP="00CA3864">
            <w:pPr>
              <w:jc w:val="both"/>
              <w:rPr>
                <w:rFonts w:ascii="Tahoma" w:hAnsi="Tahoma" w:cs="Tahoma"/>
                <w:sz w:val="20"/>
              </w:rPr>
            </w:pPr>
          </w:p>
          <w:p w:rsidR="00CA3864" w:rsidRDefault="00CA3864" w:rsidP="00CA3864">
            <w:pPr>
              <w:jc w:val="both"/>
              <w:rPr>
                <w:rFonts w:ascii="Tahoma" w:hAnsi="Tahoma" w:cs="Tahoma"/>
                <w:sz w:val="20"/>
              </w:rPr>
            </w:pPr>
            <w:r>
              <w:rPr>
                <w:rFonts w:ascii="Tahoma" w:hAnsi="Tahoma" w:cs="Tahoma"/>
                <w:sz w:val="20"/>
              </w:rPr>
              <w:t xml:space="preserve">V. Ziszczenie się ostatniego warunku (III. e)) w terminie wskazanym w pkt. IV będzie miało następujące konsekwencje: </w:t>
            </w:r>
          </w:p>
          <w:p w:rsidR="00CA3864" w:rsidRDefault="00CA3864" w:rsidP="00CA3864">
            <w:pPr>
              <w:jc w:val="both"/>
              <w:rPr>
                <w:rFonts w:ascii="Tahoma" w:hAnsi="Tahoma" w:cs="Tahoma"/>
                <w:sz w:val="20"/>
              </w:rPr>
            </w:pPr>
            <w:bookmarkStart w:id="0" w:name="_GoBack"/>
            <w:bookmarkEnd w:id="0"/>
          </w:p>
          <w:p w:rsidR="00CA3864" w:rsidRDefault="00CA3864" w:rsidP="00CA3864">
            <w:pPr>
              <w:pStyle w:val="Akapitzlist"/>
              <w:numPr>
                <w:ilvl w:val="0"/>
                <w:numId w:val="16"/>
              </w:numPr>
              <w:tabs>
                <w:tab w:val="clear" w:pos="709"/>
              </w:tabs>
              <w:spacing w:after="200" w:line="276" w:lineRule="auto"/>
              <w:rPr>
                <w:rFonts w:ascii="Tahoma" w:hAnsi="Tahoma" w:cs="Tahoma"/>
                <w:sz w:val="20"/>
              </w:rPr>
            </w:pPr>
            <w:r>
              <w:rPr>
                <w:rFonts w:ascii="Tahoma" w:hAnsi="Tahoma" w:cs="Tahoma"/>
                <w:sz w:val="20"/>
              </w:rPr>
              <w:t>Umowy sprzedaży przez DGA S.A. i Life Fund Sp. z o.o. wszystkich udziałów spółki Audiobook.pl Sp. z o.o. wejdą w życie, co oznacza, że zarówno DGA S.A. i Life Fund Sp. z o.o. nie będą udziałowcami w spółce Audiobook.pl Sp. z o.o.</w:t>
            </w:r>
          </w:p>
          <w:p w:rsidR="00CA3864" w:rsidRDefault="00CA3864" w:rsidP="00CA3864">
            <w:pPr>
              <w:pStyle w:val="Akapitzlist"/>
              <w:numPr>
                <w:ilvl w:val="0"/>
                <w:numId w:val="16"/>
              </w:numPr>
              <w:tabs>
                <w:tab w:val="clear" w:pos="709"/>
              </w:tabs>
              <w:spacing w:after="200" w:line="276" w:lineRule="auto"/>
              <w:rPr>
                <w:rFonts w:ascii="Tahoma" w:hAnsi="Tahoma" w:cs="Tahoma"/>
                <w:sz w:val="20"/>
              </w:rPr>
            </w:pPr>
            <w:r>
              <w:rPr>
                <w:rFonts w:ascii="Tahoma" w:hAnsi="Tahoma" w:cs="Tahoma"/>
                <w:sz w:val="20"/>
              </w:rPr>
              <w:t>DGA S.A. zrealizuje na transakcji sprzedaży udziałów Audiobook.pl Sp. z o.o. zysk w wysokości 268,8 tys. zł.</w:t>
            </w:r>
          </w:p>
          <w:p w:rsidR="00CA3864" w:rsidRDefault="00CA3864" w:rsidP="00CA3864">
            <w:pPr>
              <w:pStyle w:val="Akapitzlist"/>
              <w:numPr>
                <w:ilvl w:val="0"/>
                <w:numId w:val="16"/>
              </w:numPr>
              <w:tabs>
                <w:tab w:val="clear" w:pos="709"/>
              </w:tabs>
              <w:spacing w:after="200" w:line="276" w:lineRule="auto"/>
              <w:rPr>
                <w:rFonts w:ascii="Tahoma" w:hAnsi="Tahoma" w:cs="Tahoma"/>
                <w:sz w:val="20"/>
              </w:rPr>
            </w:pPr>
            <w:r>
              <w:rPr>
                <w:rFonts w:ascii="Tahoma" w:hAnsi="Tahoma" w:cs="Tahoma"/>
                <w:sz w:val="20"/>
              </w:rPr>
              <w:t>Life Fund Sp. z o.o. zrealizuje na transakcji sprzedaży udziałów Audiobook.pl Sp. z o.o. zysk w wysokości 254,2 tys. zł.</w:t>
            </w:r>
          </w:p>
          <w:p w:rsidR="00CA3864" w:rsidRDefault="00CA3864" w:rsidP="00CA3864">
            <w:pPr>
              <w:pStyle w:val="Akapitzlist"/>
              <w:numPr>
                <w:ilvl w:val="0"/>
                <w:numId w:val="16"/>
              </w:numPr>
              <w:tabs>
                <w:tab w:val="clear" w:pos="709"/>
              </w:tabs>
              <w:spacing w:after="200" w:line="276" w:lineRule="auto"/>
              <w:rPr>
                <w:rFonts w:ascii="Tahoma" w:hAnsi="Tahoma" w:cs="Tahoma"/>
                <w:sz w:val="20"/>
              </w:rPr>
            </w:pPr>
            <w:r>
              <w:rPr>
                <w:rFonts w:ascii="Tahoma" w:hAnsi="Tahoma" w:cs="Tahoma"/>
                <w:sz w:val="20"/>
              </w:rPr>
              <w:t xml:space="preserve">DGA S.A. obejmie 1.343.000 akcji firmy Bezkartek.pl S.A. </w:t>
            </w:r>
            <w:r w:rsidRPr="00F31EB3">
              <w:rPr>
                <w:rFonts w:ascii="Tahoma" w:hAnsi="Tahoma" w:cs="Tahoma"/>
                <w:b/>
                <w:sz w:val="20"/>
                <w:u w:val="single"/>
              </w:rPr>
              <w:t>za łączną cenę 1.343.000 zł</w:t>
            </w:r>
            <w:r>
              <w:rPr>
                <w:rFonts w:ascii="Tahoma" w:hAnsi="Tahoma" w:cs="Tahoma"/>
                <w:sz w:val="20"/>
              </w:rPr>
              <w:t xml:space="preserve"> i będzie miała 80% udział w kapitale akcyjnym i ogólnej liczbie głosów Bezkartek.pl S.A.</w:t>
            </w:r>
          </w:p>
          <w:p w:rsidR="00CA3864" w:rsidRDefault="00CA3864" w:rsidP="00CA3864">
            <w:pPr>
              <w:jc w:val="both"/>
              <w:rPr>
                <w:rFonts w:ascii="Tahoma" w:hAnsi="Tahoma" w:cs="Tahoma"/>
                <w:sz w:val="20"/>
              </w:rPr>
            </w:pPr>
            <w:r>
              <w:rPr>
                <w:rFonts w:ascii="Tahoma" w:hAnsi="Tahoma" w:cs="Tahoma"/>
                <w:sz w:val="20"/>
              </w:rPr>
              <w:t>VI. Zarząd DGA S.A. informuje ponadto, że Walne Zgromadzenie spółki Bezkartek.pl S.A. 24 czerwca 2014 r. podjęło również uchwałę odnośnie wyrażenia zgody na planowane połączenie przez przejęcie przez Bezkartek.pl S.A. spółki Audiobook.pl Sp. z o.o.</w:t>
            </w:r>
          </w:p>
          <w:p w:rsidR="00CA3864" w:rsidRPr="003640BB" w:rsidRDefault="00CA3864" w:rsidP="00CA3864">
            <w:pPr>
              <w:jc w:val="both"/>
              <w:rPr>
                <w:rFonts w:ascii="Tahoma" w:hAnsi="Tahoma" w:cs="Tahoma"/>
                <w:sz w:val="20"/>
              </w:rPr>
            </w:pPr>
          </w:p>
          <w:p w:rsidR="00CA3864" w:rsidRDefault="00CA3864" w:rsidP="00CA3864">
            <w:pPr>
              <w:jc w:val="both"/>
              <w:rPr>
                <w:rFonts w:ascii="Tahoma" w:hAnsi="Tahoma" w:cs="Tahoma"/>
                <w:sz w:val="20"/>
              </w:rPr>
            </w:pPr>
            <w:r>
              <w:rPr>
                <w:rFonts w:ascii="Tahoma" w:hAnsi="Tahoma" w:cs="Tahoma"/>
                <w:sz w:val="20"/>
              </w:rPr>
              <w:t>VII. Opis spółki Bezkartek.pl S.A.</w:t>
            </w:r>
          </w:p>
          <w:p w:rsidR="00CA3864" w:rsidRDefault="00CA3864" w:rsidP="00CA3864">
            <w:pPr>
              <w:jc w:val="both"/>
              <w:rPr>
                <w:rFonts w:ascii="Tahoma" w:hAnsi="Tahoma" w:cs="Tahoma"/>
                <w:sz w:val="20"/>
              </w:rPr>
            </w:pPr>
          </w:p>
          <w:p w:rsidR="00CA3864" w:rsidRDefault="00CA3864" w:rsidP="00CA3864">
            <w:pPr>
              <w:jc w:val="both"/>
              <w:rPr>
                <w:rFonts w:ascii="Tahoma" w:hAnsi="Tahoma" w:cs="Tahoma"/>
                <w:sz w:val="20"/>
              </w:rPr>
            </w:pPr>
            <w:r w:rsidRPr="005C663B">
              <w:rPr>
                <w:rFonts w:ascii="Tahoma" w:hAnsi="Tahoma" w:cs="Tahoma"/>
                <w:sz w:val="20"/>
              </w:rPr>
              <w:t xml:space="preserve">Bezkartek.pl S.A. to podmiot funkcjonujący na polskim rynku książki od 2008 r. Głównym atutem spółki oraz jednocześnie jej podstawowym przedmiotem działalności jest bogata oferta </w:t>
            </w:r>
            <w:proofErr w:type="spellStart"/>
            <w:r w:rsidRPr="005C663B">
              <w:rPr>
                <w:rFonts w:ascii="Tahoma" w:hAnsi="Tahoma" w:cs="Tahoma"/>
                <w:sz w:val="20"/>
              </w:rPr>
              <w:t>ebooków</w:t>
            </w:r>
            <w:proofErr w:type="spellEnd"/>
            <w:r w:rsidRPr="005C663B">
              <w:rPr>
                <w:rFonts w:ascii="Tahoma" w:hAnsi="Tahoma" w:cs="Tahoma"/>
                <w:sz w:val="20"/>
              </w:rPr>
              <w:t xml:space="preserve">, składająca się obecnie z blisko 15 tys. tytułów pochodzących od większości polskich wydawców oferujących książki elektroniczne. Spółka aktywnie funkcjonuje również w sektorze e-czytników, oferując swoim Klientom komplementarną ofertę książki elektronicznej. Powyższe zasoby połączone ze znajomością rynku książki, wysokimi poziomem wiedzy i doświadczeniem w dziedzinie IT (potwierdzonym realizacją projektów unijnych) stanowią pożądane uzupełnienie dotychczasowej oferty spółki Audiobook.pl Sp. z o.o., jednego z największych i najstarszych dystrybutorów </w:t>
            </w:r>
            <w:proofErr w:type="spellStart"/>
            <w:r w:rsidRPr="005C663B">
              <w:rPr>
                <w:rFonts w:ascii="Tahoma" w:hAnsi="Tahoma" w:cs="Tahoma"/>
                <w:sz w:val="20"/>
              </w:rPr>
              <w:t>audiobooków</w:t>
            </w:r>
            <w:proofErr w:type="spellEnd"/>
            <w:r w:rsidRPr="005C663B">
              <w:rPr>
                <w:rFonts w:ascii="Tahoma" w:hAnsi="Tahoma" w:cs="Tahoma"/>
                <w:sz w:val="20"/>
              </w:rPr>
              <w:t xml:space="preserve"> w Polsce. Dzięki połączeniu zasobów spółek - tak majątkowych jak i przede wszystkim osobowych - możliwe będzie zaoferowanie Klientom detalicznym oraz instytucjonalnym pełnej oferty w zakresie książki elektronicznej, zarówno co do tytułów oraz formatów</w:t>
            </w:r>
            <w:r>
              <w:rPr>
                <w:rFonts w:ascii="Tahoma" w:hAnsi="Tahoma" w:cs="Tahoma"/>
                <w:sz w:val="20"/>
              </w:rPr>
              <w:t>,</w:t>
            </w:r>
            <w:r w:rsidRPr="005C663B">
              <w:rPr>
                <w:rFonts w:ascii="Tahoma" w:hAnsi="Tahoma" w:cs="Tahoma"/>
                <w:sz w:val="20"/>
              </w:rPr>
              <w:t xml:space="preserve"> jak i co do nowoczesnych rozwiązań informatycznych w zakresie dostarczania wspomnianych treści.</w:t>
            </w:r>
          </w:p>
          <w:p w:rsidR="00781A82" w:rsidRPr="008A51FB" w:rsidRDefault="00EB2698" w:rsidP="00EB2698">
            <w:pPr>
              <w:jc w:val="both"/>
              <w:rPr>
                <w:rFonts w:ascii="Tahoma" w:hAnsi="Tahoma" w:cs="Tahoma"/>
                <w:sz w:val="20"/>
              </w:rPr>
            </w:pPr>
            <w:r>
              <w:rPr>
                <w:rFonts w:ascii="Tahoma" w:hAnsi="Tahoma" w:cs="Tahoma"/>
                <w:sz w:val="20"/>
              </w:rPr>
              <w:t xml:space="preserve"> </w:t>
            </w:r>
          </w:p>
        </w:tc>
      </w:tr>
      <w:tr w:rsidR="00394E2C" w:rsidRPr="00AF2262" w:rsidTr="00BA3E63">
        <w:trPr>
          <w:trHeight w:val="421"/>
        </w:trPr>
        <w:tc>
          <w:tcPr>
            <w:tcW w:w="9648" w:type="dxa"/>
            <w:gridSpan w:val="2"/>
            <w:tcBorders>
              <w:bottom w:val="single" w:sz="4" w:space="0" w:color="auto"/>
            </w:tcBorders>
          </w:tcPr>
          <w:p w:rsidR="00394E2C" w:rsidRPr="007F1C0C" w:rsidRDefault="00CA3864" w:rsidP="00BA3E63">
            <w:pPr>
              <w:autoSpaceDE w:val="0"/>
              <w:autoSpaceDN w:val="0"/>
              <w:adjustRightInd w:val="0"/>
              <w:rPr>
                <w:rFonts w:ascii="Tahoma" w:hAnsi="Tahoma" w:cs="Tahoma"/>
                <w:sz w:val="20"/>
              </w:rPr>
            </w:pPr>
            <w:r>
              <w:rPr>
                <w:rFonts w:ascii="Tahoma" w:hAnsi="Tahoma" w:cs="Tahoma"/>
                <w:sz w:val="20"/>
              </w:rPr>
              <w:lastRenderedPageBreak/>
              <w:t>Podstawa prawna: art.</w:t>
            </w:r>
            <w:r w:rsidRPr="00AF2262">
              <w:rPr>
                <w:rFonts w:ascii="Tahoma" w:hAnsi="Tahoma" w:cs="Tahoma"/>
                <w:sz w:val="20"/>
              </w:rPr>
              <w:t xml:space="preserve"> </w:t>
            </w:r>
            <w:r>
              <w:rPr>
                <w:rFonts w:ascii="Tahoma" w:hAnsi="Tahoma" w:cs="Tahoma"/>
                <w:sz w:val="20"/>
              </w:rPr>
              <w:t>56</w:t>
            </w:r>
            <w:r w:rsidRPr="00AF2262">
              <w:rPr>
                <w:rFonts w:ascii="Tahoma" w:hAnsi="Tahoma" w:cs="Tahoma"/>
                <w:sz w:val="20"/>
              </w:rPr>
              <w:t xml:space="preserve"> ust. 1 </w:t>
            </w:r>
            <w:r>
              <w:rPr>
                <w:rFonts w:ascii="Tahoma" w:hAnsi="Tahoma" w:cs="Tahoma"/>
                <w:sz w:val="20"/>
              </w:rPr>
              <w:t>pkt 1 u</w:t>
            </w:r>
            <w:r w:rsidRPr="00AF2262">
              <w:rPr>
                <w:rFonts w:ascii="Tahoma" w:hAnsi="Tahoma" w:cs="Tahoma"/>
                <w:sz w:val="20"/>
              </w:rPr>
              <w:t>stawy o ofercie</w:t>
            </w:r>
          </w:p>
        </w:tc>
      </w:tr>
      <w:tr w:rsidR="00394E2C" w:rsidRPr="00AF2262" w:rsidTr="00BA3E63">
        <w:trPr>
          <w:trHeight w:val="347"/>
        </w:trPr>
        <w:tc>
          <w:tcPr>
            <w:tcW w:w="9648" w:type="dxa"/>
            <w:gridSpan w:val="2"/>
            <w:tcBorders>
              <w:top w:val="single" w:sz="4" w:space="0" w:color="auto"/>
            </w:tcBorders>
          </w:tcPr>
          <w:p w:rsidR="00394E2C" w:rsidRPr="00AF2262" w:rsidRDefault="00394E2C" w:rsidP="00BA3E63">
            <w:pPr>
              <w:rPr>
                <w:rFonts w:ascii="Tahoma" w:hAnsi="Tahoma" w:cs="Tahoma"/>
                <w:sz w:val="20"/>
              </w:rPr>
            </w:pPr>
            <w:r w:rsidRPr="00AF2262">
              <w:rPr>
                <w:rFonts w:ascii="Tahoma" w:hAnsi="Tahoma" w:cs="Tahoma"/>
                <w:sz w:val="20"/>
              </w:rPr>
              <w:t>Podpis osoby upoważnionej do reprezentowania Emitenta:</w:t>
            </w:r>
          </w:p>
        </w:tc>
      </w:tr>
      <w:tr w:rsidR="00394E2C" w:rsidRPr="00AF2262" w:rsidTr="00BA3E63">
        <w:trPr>
          <w:trHeight w:val="706"/>
        </w:trPr>
        <w:tc>
          <w:tcPr>
            <w:tcW w:w="9648" w:type="dxa"/>
            <w:gridSpan w:val="2"/>
          </w:tcPr>
          <w:p w:rsidR="00394E2C" w:rsidRDefault="00394E2C" w:rsidP="00BA3E63">
            <w:pPr>
              <w:rPr>
                <w:rFonts w:ascii="Tahoma" w:hAnsi="Tahoma" w:cs="Tahoma"/>
                <w:b/>
                <w:sz w:val="20"/>
              </w:rPr>
            </w:pPr>
            <w:r w:rsidRPr="00AF2262">
              <w:rPr>
                <w:rFonts w:ascii="Tahoma" w:hAnsi="Tahoma" w:cs="Tahoma"/>
                <w:b/>
                <w:sz w:val="20"/>
              </w:rPr>
              <w:tab/>
            </w:r>
            <w:r w:rsidR="00B467A3">
              <w:rPr>
                <w:rFonts w:ascii="Tahoma" w:hAnsi="Tahoma" w:cs="Tahoma"/>
                <w:b/>
                <w:sz w:val="20"/>
              </w:rPr>
              <w:t>Błażej Piechowiak</w:t>
            </w:r>
          </w:p>
          <w:p w:rsidR="009664FB" w:rsidRDefault="009664FB" w:rsidP="00BA3E63">
            <w:pPr>
              <w:rPr>
                <w:rFonts w:ascii="Tahoma" w:hAnsi="Tahoma" w:cs="Tahoma"/>
                <w:b/>
                <w:sz w:val="20"/>
              </w:rPr>
            </w:pPr>
          </w:p>
          <w:p w:rsidR="00394E2C" w:rsidRPr="00AF2262" w:rsidRDefault="00394E2C" w:rsidP="00BA3E63">
            <w:pPr>
              <w:rPr>
                <w:rFonts w:ascii="Tahoma" w:hAnsi="Tahoma" w:cs="Tahoma"/>
                <w:b/>
                <w:sz w:val="20"/>
              </w:rPr>
            </w:pPr>
          </w:p>
          <w:p w:rsidR="00394E2C" w:rsidRPr="00AF2262" w:rsidRDefault="009664FB" w:rsidP="00B467A3">
            <w:pPr>
              <w:rPr>
                <w:rFonts w:ascii="Tahoma" w:hAnsi="Tahoma" w:cs="Tahoma"/>
                <w:b/>
                <w:sz w:val="20"/>
              </w:rPr>
            </w:pPr>
            <w:r>
              <w:rPr>
                <w:rFonts w:ascii="Tahoma" w:hAnsi="Tahoma" w:cs="Tahoma"/>
                <w:b/>
                <w:sz w:val="20"/>
              </w:rPr>
              <w:t xml:space="preserve">            </w:t>
            </w:r>
            <w:r w:rsidR="00B467A3">
              <w:rPr>
                <w:rFonts w:ascii="Tahoma" w:hAnsi="Tahoma" w:cs="Tahoma"/>
                <w:b/>
                <w:sz w:val="20"/>
              </w:rPr>
              <w:t xml:space="preserve"> </w:t>
            </w:r>
            <w:r>
              <w:rPr>
                <w:rFonts w:ascii="Tahoma" w:hAnsi="Tahoma" w:cs="Tahoma"/>
                <w:b/>
                <w:sz w:val="20"/>
              </w:rPr>
              <w:t xml:space="preserve"> </w:t>
            </w:r>
            <w:r w:rsidR="00B467A3">
              <w:rPr>
                <w:rFonts w:ascii="Tahoma" w:hAnsi="Tahoma" w:cs="Tahoma"/>
                <w:b/>
                <w:sz w:val="20"/>
              </w:rPr>
              <w:t>Prokurent</w:t>
            </w:r>
          </w:p>
        </w:tc>
      </w:tr>
    </w:tbl>
    <w:p w:rsidR="00394E2C" w:rsidRPr="004C5D3A" w:rsidRDefault="00394E2C" w:rsidP="00FB2DC5"/>
    <w:sectPr w:rsidR="00394E2C" w:rsidRPr="004C5D3A" w:rsidSect="00316F35">
      <w:footerReference w:type="default" r:id="rId9"/>
      <w:headerReference w:type="first" r:id="rId10"/>
      <w:footerReference w:type="first" r:id="rId11"/>
      <w:pgSz w:w="11906" w:h="16838" w:code="9"/>
      <w:pgMar w:top="1417" w:right="1417" w:bottom="1417" w:left="1417" w:header="510" w:footer="79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864" w:rsidRDefault="00CA3864">
      <w:r>
        <w:separator/>
      </w:r>
    </w:p>
  </w:endnote>
  <w:endnote w:type="continuationSeparator" w:id="0">
    <w:p w:rsidR="00CA3864" w:rsidRDefault="00CA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Bookman Old Style">
    <w:panose1 w:val="02050604050505020204"/>
    <w:charset w:val="EE"/>
    <w:family w:val="roman"/>
    <w:pitch w:val="variable"/>
    <w:sig w:usb0="00000287" w:usb1="00000000" w:usb2="00000000" w:usb3="00000000" w:csb0="0000009F" w:csb1="00000000"/>
  </w:font>
  <w:font w:name="PL SwitzerlandCondensed">
    <w:altName w:val="Arial"/>
    <w:charset w:val="EE"/>
    <w:family w:val="swiss"/>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864" w:rsidRDefault="00CA3864"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7728" behindDoc="0" locked="0" layoutInCell="1" allowOverlap="1">
              <wp:simplePos x="0" y="0"/>
              <wp:positionH relativeFrom="column">
                <wp:posOffset>5176520</wp:posOffset>
              </wp:positionH>
              <wp:positionV relativeFrom="paragraph">
                <wp:posOffset>-45085</wp:posOffset>
              </wp:positionV>
              <wp:extent cx="635" cy="257175"/>
              <wp:effectExtent l="23495" t="21590" r="23495" b="165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7175"/>
                      </a:xfrm>
                      <a:prstGeom prst="straightConnector1">
                        <a:avLst/>
                      </a:prstGeom>
                      <a:noFill/>
                      <a:ln w="317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864" w:rsidRPr="00C64F4A" w:rsidRDefault="00CA3864"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CA3864" w:rsidRPr="00F96658" w:rsidRDefault="00CA3864" w:rsidP="00EE3C7F">
    <w:pPr>
      <w:pStyle w:val="Stopka"/>
      <w:jc w:val="center"/>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864" w:rsidRDefault="00CA3864">
      <w:r>
        <w:separator/>
      </w:r>
    </w:p>
  </w:footnote>
  <w:footnote w:type="continuationSeparator" w:id="0">
    <w:p w:rsidR="00CA3864" w:rsidRDefault="00CA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864" w:rsidRPr="00F96658" w:rsidRDefault="00CA3864"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1739"/>
    <w:multiLevelType w:val="hybridMultilevel"/>
    <w:tmpl w:val="3E1648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EDD5612"/>
    <w:multiLevelType w:val="hybridMultilevel"/>
    <w:tmpl w:val="4AD2AA1A"/>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FD81434"/>
    <w:multiLevelType w:val="hybridMultilevel"/>
    <w:tmpl w:val="67908E4C"/>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AA7CEB"/>
    <w:multiLevelType w:val="hybridMultilevel"/>
    <w:tmpl w:val="3116648E"/>
    <w:lvl w:ilvl="0" w:tplc="EBA26800">
      <w:start w:val="1"/>
      <w:numFmt w:val="decimal"/>
      <w:lvlText w:val="%1."/>
      <w:lvlJc w:val="left"/>
      <w:pPr>
        <w:tabs>
          <w:tab w:val="num" w:pos="720"/>
        </w:tabs>
        <w:ind w:left="720" w:hanging="360"/>
      </w:pPr>
      <w:rPr>
        <w:rFonts w:cs="Times New Roman" w:hint="default"/>
        <w:b/>
        <w:i w:val="0"/>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A3B018C"/>
    <w:multiLevelType w:val="hybridMultilevel"/>
    <w:tmpl w:val="EE1EB2D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26B823C5"/>
    <w:multiLevelType w:val="hybridMultilevel"/>
    <w:tmpl w:val="CBE836A0"/>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E8D3EF1"/>
    <w:multiLevelType w:val="hybridMultilevel"/>
    <w:tmpl w:val="A7A26D24"/>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F50018D"/>
    <w:multiLevelType w:val="hybridMultilevel"/>
    <w:tmpl w:val="5A0CF7DA"/>
    <w:lvl w:ilvl="0" w:tplc="9054544E">
      <w:start w:val="1"/>
      <w:numFmt w:val="decimal"/>
      <w:lvlText w:val="%1)"/>
      <w:lvlJc w:val="left"/>
      <w:pPr>
        <w:tabs>
          <w:tab w:val="num" w:pos="1440"/>
        </w:tabs>
        <w:ind w:left="1420" w:hanging="340"/>
      </w:pPr>
      <w:rPr>
        <w:rFonts w:ascii="Times New Roman" w:hAnsi="Times New Roman"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5D9F5556"/>
    <w:multiLevelType w:val="hybridMultilevel"/>
    <w:tmpl w:val="8782E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DD5118D"/>
    <w:multiLevelType w:val="hybridMultilevel"/>
    <w:tmpl w:val="C3FAFD8E"/>
    <w:lvl w:ilvl="0" w:tplc="4A120A56">
      <w:start w:val="1"/>
      <w:numFmt w:val="upperRoman"/>
      <w:lvlText w:val="%1."/>
      <w:lvlJc w:val="left"/>
      <w:pPr>
        <w:ind w:left="720" w:hanging="360"/>
      </w:pPr>
      <w:rPr>
        <w:rFonts w:cs="Times New Roman" w:hint="default"/>
      </w:rPr>
    </w:lvl>
    <w:lvl w:ilvl="1" w:tplc="A68A89B0">
      <w:start w:val="1"/>
      <w:numFmt w:val="decimal"/>
      <w:lvlText w:val="%2."/>
      <w:lvlJc w:val="left"/>
      <w:pPr>
        <w:ind w:left="1440" w:hanging="360"/>
      </w:pPr>
      <w:rPr>
        <w:rFonts w:cs="Times New Roman" w:hint="default"/>
      </w:rPr>
    </w:lvl>
    <w:lvl w:ilvl="2" w:tplc="DE2AAFD6">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72F623B7"/>
    <w:multiLevelType w:val="hybridMultilevel"/>
    <w:tmpl w:val="0596CA96"/>
    <w:lvl w:ilvl="0" w:tplc="15944002">
      <w:start w:val="1"/>
      <w:numFmt w:val="decimal"/>
      <w:lvlText w:val="%1."/>
      <w:lvlJc w:val="left"/>
      <w:pPr>
        <w:ind w:left="720" w:hanging="360"/>
      </w:pPr>
      <w:rPr>
        <w:rFonts w:cs="Times New Roman" w:hint="default"/>
        <w:b/>
        <w:i w:val="0"/>
      </w:rPr>
    </w:lvl>
    <w:lvl w:ilvl="1" w:tplc="1E422704">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7BEB36F1"/>
    <w:multiLevelType w:val="hybridMultilevel"/>
    <w:tmpl w:val="F0A44530"/>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7EC943F4"/>
    <w:multiLevelType w:val="singleLevel"/>
    <w:tmpl w:val="26E0C172"/>
    <w:lvl w:ilvl="0">
      <w:start w:val="1"/>
      <w:numFmt w:val="lowerLetter"/>
      <w:lvlText w:val="%1)"/>
      <w:lvlJc w:val="left"/>
      <w:pPr>
        <w:ind w:left="1440" w:hanging="360"/>
      </w:pPr>
      <w:rPr>
        <w:b w:val="0"/>
        <w:i w:val="0"/>
        <w:strike w:val="0"/>
        <w:dstrike w:val="0"/>
        <w:color w:val="auto"/>
        <w:sz w:val="18"/>
        <w:szCs w:val="18"/>
      </w:rPr>
    </w:lvl>
  </w:abstractNum>
  <w:abstractNum w:abstractNumId="15">
    <w:nsid w:val="7F8A2FC3"/>
    <w:multiLevelType w:val="hybridMultilevel"/>
    <w:tmpl w:val="3718E8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1"/>
  </w:num>
  <w:num w:numId="4">
    <w:abstractNumId w:val="0"/>
  </w:num>
  <w:num w:numId="5">
    <w:abstractNumId w:val="11"/>
  </w:num>
  <w:num w:numId="6">
    <w:abstractNumId w:val="12"/>
  </w:num>
  <w:num w:numId="7">
    <w:abstractNumId w:val="5"/>
  </w:num>
  <w:num w:numId="8">
    <w:abstractNumId w:val="4"/>
  </w:num>
  <w:num w:numId="9">
    <w:abstractNumId w:val="13"/>
  </w:num>
  <w:num w:numId="10">
    <w:abstractNumId w:val="8"/>
  </w:num>
  <w:num w:numId="11">
    <w:abstractNumId w:val="2"/>
  </w:num>
  <w:num w:numId="12">
    <w:abstractNumId w:val="3"/>
  </w:num>
  <w:num w:numId="13">
    <w:abstractNumId w:val="9"/>
  </w:num>
  <w:num w:numId="14">
    <w:abstractNumId w:val="10"/>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8193">
      <o:colormenu v:ext="edit" strokecolor="none [320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00B54"/>
    <w:rsid w:val="00017CFE"/>
    <w:rsid w:val="000209EF"/>
    <w:rsid w:val="00027A11"/>
    <w:rsid w:val="00035231"/>
    <w:rsid w:val="0003685B"/>
    <w:rsid w:val="00044E15"/>
    <w:rsid w:val="000544E4"/>
    <w:rsid w:val="0008309C"/>
    <w:rsid w:val="00084E08"/>
    <w:rsid w:val="000B7EA0"/>
    <w:rsid w:val="000C14F5"/>
    <w:rsid w:val="000C1F4F"/>
    <w:rsid w:val="000E135A"/>
    <w:rsid w:val="000E1B25"/>
    <w:rsid w:val="000E34C9"/>
    <w:rsid w:val="000F1307"/>
    <w:rsid w:val="000F140A"/>
    <w:rsid w:val="00126819"/>
    <w:rsid w:val="00136B0C"/>
    <w:rsid w:val="00152C87"/>
    <w:rsid w:val="001614BF"/>
    <w:rsid w:val="001822F4"/>
    <w:rsid w:val="00184433"/>
    <w:rsid w:val="00184699"/>
    <w:rsid w:val="001849EF"/>
    <w:rsid w:val="00193D4F"/>
    <w:rsid w:val="0019446A"/>
    <w:rsid w:val="001A30A9"/>
    <w:rsid w:val="001A6F7A"/>
    <w:rsid w:val="001E5403"/>
    <w:rsid w:val="001F01CC"/>
    <w:rsid w:val="002376A7"/>
    <w:rsid w:val="002436FA"/>
    <w:rsid w:val="0026350A"/>
    <w:rsid w:val="00271F64"/>
    <w:rsid w:val="00285444"/>
    <w:rsid w:val="002E3279"/>
    <w:rsid w:val="002E681F"/>
    <w:rsid w:val="00305B01"/>
    <w:rsid w:val="00314CAB"/>
    <w:rsid w:val="00315C3D"/>
    <w:rsid w:val="00316F35"/>
    <w:rsid w:val="003363A5"/>
    <w:rsid w:val="00345260"/>
    <w:rsid w:val="0035052B"/>
    <w:rsid w:val="00357013"/>
    <w:rsid w:val="00360AD1"/>
    <w:rsid w:val="003659F5"/>
    <w:rsid w:val="00394E2C"/>
    <w:rsid w:val="003A6A0A"/>
    <w:rsid w:val="003C202F"/>
    <w:rsid w:val="003D7D15"/>
    <w:rsid w:val="003E75F3"/>
    <w:rsid w:val="003F0689"/>
    <w:rsid w:val="004152B4"/>
    <w:rsid w:val="00417091"/>
    <w:rsid w:val="0042236A"/>
    <w:rsid w:val="004335F1"/>
    <w:rsid w:val="004351ED"/>
    <w:rsid w:val="00440028"/>
    <w:rsid w:val="004426BB"/>
    <w:rsid w:val="004540E5"/>
    <w:rsid w:val="00481350"/>
    <w:rsid w:val="004A703D"/>
    <w:rsid w:val="004C06FE"/>
    <w:rsid w:val="004C0763"/>
    <w:rsid w:val="004C47BF"/>
    <w:rsid w:val="00502E50"/>
    <w:rsid w:val="005355AA"/>
    <w:rsid w:val="00536721"/>
    <w:rsid w:val="0054662D"/>
    <w:rsid w:val="00551AE9"/>
    <w:rsid w:val="005A6F79"/>
    <w:rsid w:val="005B344C"/>
    <w:rsid w:val="005C3731"/>
    <w:rsid w:val="005C4DE2"/>
    <w:rsid w:val="005C5283"/>
    <w:rsid w:val="005C7DF1"/>
    <w:rsid w:val="005F2DD0"/>
    <w:rsid w:val="0061150D"/>
    <w:rsid w:val="00625B6A"/>
    <w:rsid w:val="00655B6C"/>
    <w:rsid w:val="006666EE"/>
    <w:rsid w:val="00670E24"/>
    <w:rsid w:val="006B1099"/>
    <w:rsid w:val="006B7AA9"/>
    <w:rsid w:val="006D27DC"/>
    <w:rsid w:val="007140B9"/>
    <w:rsid w:val="00725424"/>
    <w:rsid w:val="00734D18"/>
    <w:rsid w:val="0075448E"/>
    <w:rsid w:val="00756307"/>
    <w:rsid w:val="007720B4"/>
    <w:rsid w:val="00781A82"/>
    <w:rsid w:val="007B2C02"/>
    <w:rsid w:val="007C5AC2"/>
    <w:rsid w:val="00813B4D"/>
    <w:rsid w:val="008324B0"/>
    <w:rsid w:val="00845989"/>
    <w:rsid w:val="0085253A"/>
    <w:rsid w:val="008629B5"/>
    <w:rsid w:val="00876DA3"/>
    <w:rsid w:val="0088202A"/>
    <w:rsid w:val="0088665F"/>
    <w:rsid w:val="008A0D44"/>
    <w:rsid w:val="008B5665"/>
    <w:rsid w:val="008C4BA4"/>
    <w:rsid w:val="008D1A31"/>
    <w:rsid w:val="008E3AE7"/>
    <w:rsid w:val="008E6647"/>
    <w:rsid w:val="008E7260"/>
    <w:rsid w:val="00917AE0"/>
    <w:rsid w:val="00954AEA"/>
    <w:rsid w:val="00960AD6"/>
    <w:rsid w:val="009664FB"/>
    <w:rsid w:val="009906DA"/>
    <w:rsid w:val="00993E76"/>
    <w:rsid w:val="00995336"/>
    <w:rsid w:val="009B10D7"/>
    <w:rsid w:val="009C15C6"/>
    <w:rsid w:val="009C59B1"/>
    <w:rsid w:val="009C5CE3"/>
    <w:rsid w:val="009D09CE"/>
    <w:rsid w:val="009D174E"/>
    <w:rsid w:val="009F14F1"/>
    <w:rsid w:val="00A01E37"/>
    <w:rsid w:val="00A079CA"/>
    <w:rsid w:val="00A14A0C"/>
    <w:rsid w:val="00A5526B"/>
    <w:rsid w:val="00A571A2"/>
    <w:rsid w:val="00A6694E"/>
    <w:rsid w:val="00A75EA2"/>
    <w:rsid w:val="00A814B7"/>
    <w:rsid w:val="00A9685C"/>
    <w:rsid w:val="00AB7D6F"/>
    <w:rsid w:val="00AD0578"/>
    <w:rsid w:val="00AD3E54"/>
    <w:rsid w:val="00AF4EC0"/>
    <w:rsid w:val="00B069E1"/>
    <w:rsid w:val="00B22FD6"/>
    <w:rsid w:val="00B31D58"/>
    <w:rsid w:val="00B344B2"/>
    <w:rsid w:val="00B37C88"/>
    <w:rsid w:val="00B426F6"/>
    <w:rsid w:val="00B467A3"/>
    <w:rsid w:val="00B54344"/>
    <w:rsid w:val="00B660C3"/>
    <w:rsid w:val="00B83CCA"/>
    <w:rsid w:val="00B9160C"/>
    <w:rsid w:val="00B96D3A"/>
    <w:rsid w:val="00BA3E63"/>
    <w:rsid w:val="00BA47E2"/>
    <w:rsid w:val="00BD03F4"/>
    <w:rsid w:val="00BE51D2"/>
    <w:rsid w:val="00BE6FDB"/>
    <w:rsid w:val="00BF1F7F"/>
    <w:rsid w:val="00BF2103"/>
    <w:rsid w:val="00BF2427"/>
    <w:rsid w:val="00BF73B2"/>
    <w:rsid w:val="00BF78DA"/>
    <w:rsid w:val="00C047FB"/>
    <w:rsid w:val="00C134A1"/>
    <w:rsid w:val="00C152E1"/>
    <w:rsid w:val="00C23686"/>
    <w:rsid w:val="00C425E0"/>
    <w:rsid w:val="00C456C6"/>
    <w:rsid w:val="00C64F4A"/>
    <w:rsid w:val="00C92427"/>
    <w:rsid w:val="00CA3864"/>
    <w:rsid w:val="00CC26FE"/>
    <w:rsid w:val="00CC4983"/>
    <w:rsid w:val="00CE6E7F"/>
    <w:rsid w:val="00D010A3"/>
    <w:rsid w:val="00D11C65"/>
    <w:rsid w:val="00D27627"/>
    <w:rsid w:val="00D30065"/>
    <w:rsid w:val="00D37700"/>
    <w:rsid w:val="00D41ED7"/>
    <w:rsid w:val="00D47410"/>
    <w:rsid w:val="00D5226B"/>
    <w:rsid w:val="00D53A39"/>
    <w:rsid w:val="00D610FE"/>
    <w:rsid w:val="00D7508B"/>
    <w:rsid w:val="00D84A8F"/>
    <w:rsid w:val="00D9553C"/>
    <w:rsid w:val="00DA3859"/>
    <w:rsid w:val="00DA4F8C"/>
    <w:rsid w:val="00DA69B8"/>
    <w:rsid w:val="00DB0DF4"/>
    <w:rsid w:val="00DB5BA8"/>
    <w:rsid w:val="00DB6136"/>
    <w:rsid w:val="00DC382E"/>
    <w:rsid w:val="00DF6E3B"/>
    <w:rsid w:val="00E436CD"/>
    <w:rsid w:val="00E75F8F"/>
    <w:rsid w:val="00EA2FDE"/>
    <w:rsid w:val="00EB2698"/>
    <w:rsid w:val="00EC18EB"/>
    <w:rsid w:val="00EE3C7F"/>
    <w:rsid w:val="00F00937"/>
    <w:rsid w:val="00F075DE"/>
    <w:rsid w:val="00F22F9A"/>
    <w:rsid w:val="00F47424"/>
    <w:rsid w:val="00F50460"/>
    <w:rsid w:val="00F61C3E"/>
    <w:rsid w:val="00F6205C"/>
    <w:rsid w:val="00F80B6B"/>
    <w:rsid w:val="00F833B8"/>
    <w:rsid w:val="00F8372F"/>
    <w:rsid w:val="00F96658"/>
    <w:rsid w:val="00FA0CC3"/>
    <w:rsid w:val="00FA6596"/>
    <w:rsid w:val="00FA6C42"/>
    <w:rsid w:val="00FB2DC5"/>
    <w:rsid w:val="00FB3FAB"/>
    <w:rsid w:val="00FB51E9"/>
    <w:rsid w:val="00FC2AB7"/>
    <w:rsid w:val="00FF1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320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Bezodstpw">
    <w:name w:val="No Spacing"/>
    <w:uiPriority w:val="99"/>
    <w:qFormat/>
    <w:rsid w:val="000E34C9"/>
    <w:rPr>
      <w:rFonts w:ascii="Calibri" w:eastAsia="Calibri" w:hAnsi="Calibri"/>
      <w:sz w:val="22"/>
      <w:szCs w:val="22"/>
      <w:lang w:eastAsia="en-US"/>
    </w:rPr>
  </w:style>
  <w:style w:type="paragraph" w:styleId="Akapitzlist">
    <w:name w:val="List Paragraph"/>
    <w:basedOn w:val="Normalny"/>
    <w:uiPriority w:val="34"/>
    <w:qFormat/>
    <w:rsid w:val="000E34C9"/>
    <w:pPr>
      <w:tabs>
        <w:tab w:val="left" w:pos="709"/>
      </w:tabs>
      <w:spacing w:line="360" w:lineRule="auto"/>
      <w:ind w:left="720"/>
      <w:contextualSpacing/>
      <w:jc w:val="both"/>
    </w:pPr>
    <w:rPr>
      <w:rFonts w:ascii="Bookman Old Style" w:hAnsi="Bookman Old Style"/>
      <w:sz w:val="22"/>
    </w:rPr>
  </w:style>
  <w:style w:type="paragraph" w:styleId="Tekstpodstawowy">
    <w:name w:val="Body Text"/>
    <w:basedOn w:val="Normalny"/>
    <w:link w:val="TekstpodstawowyZnak"/>
    <w:uiPriority w:val="99"/>
    <w:rsid w:val="000E34C9"/>
    <w:pPr>
      <w:spacing w:after="120"/>
    </w:pPr>
    <w:rPr>
      <w:sz w:val="20"/>
    </w:rPr>
  </w:style>
  <w:style w:type="character" w:customStyle="1" w:styleId="TekstpodstawowyZnak">
    <w:name w:val="Tekst podstawowy Znak"/>
    <w:basedOn w:val="Domylnaczcionkaakapitu"/>
    <w:link w:val="Tekstpodstawowy"/>
    <w:uiPriority w:val="99"/>
    <w:rsid w:val="000E34C9"/>
  </w:style>
  <w:style w:type="paragraph" w:customStyle="1" w:styleId="tekwzpod">
    <w:name w:val="tekwzpod"/>
    <w:rsid w:val="00CA3864"/>
    <w:pPr>
      <w:widowControl w:val="0"/>
      <w:tabs>
        <w:tab w:val="left" w:pos="822"/>
        <w:tab w:val="left" w:leader="dot" w:pos="1417"/>
      </w:tabs>
      <w:suppressAutoHyphens/>
      <w:spacing w:line="220" w:lineRule="atLeast"/>
      <w:ind w:left="822" w:right="567" w:hanging="255"/>
      <w:jc w:val="both"/>
    </w:pPr>
    <w:rPr>
      <w:rFonts w:ascii="PL SwitzerlandCondensed" w:eastAsia="Arial" w:hAnsi="PL SwitzerlandCondensed"/>
      <w:sz w:val="19"/>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Bezodstpw">
    <w:name w:val="No Spacing"/>
    <w:uiPriority w:val="99"/>
    <w:qFormat/>
    <w:rsid w:val="000E34C9"/>
    <w:rPr>
      <w:rFonts w:ascii="Calibri" w:eastAsia="Calibri" w:hAnsi="Calibri"/>
      <w:sz w:val="22"/>
      <w:szCs w:val="22"/>
      <w:lang w:eastAsia="en-US"/>
    </w:rPr>
  </w:style>
  <w:style w:type="paragraph" w:styleId="Akapitzlist">
    <w:name w:val="List Paragraph"/>
    <w:basedOn w:val="Normalny"/>
    <w:uiPriority w:val="34"/>
    <w:qFormat/>
    <w:rsid w:val="000E34C9"/>
    <w:pPr>
      <w:tabs>
        <w:tab w:val="left" w:pos="709"/>
      </w:tabs>
      <w:spacing w:line="360" w:lineRule="auto"/>
      <w:ind w:left="720"/>
      <w:contextualSpacing/>
      <w:jc w:val="both"/>
    </w:pPr>
    <w:rPr>
      <w:rFonts w:ascii="Bookman Old Style" w:hAnsi="Bookman Old Style"/>
      <w:sz w:val="22"/>
    </w:rPr>
  </w:style>
  <w:style w:type="paragraph" w:styleId="Tekstpodstawowy">
    <w:name w:val="Body Text"/>
    <w:basedOn w:val="Normalny"/>
    <w:link w:val="TekstpodstawowyZnak"/>
    <w:uiPriority w:val="99"/>
    <w:rsid w:val="000E34C9"/>
    <w:pPr>
      <w:spacing w:after="120"/>
    </w:pPr>
    <w:rPr>
      <w:sz w:val="20"/>
    </w:rPr>
  </w:style>
  <w:style w:type="character" w:customStyle="1" w:styleId="TekstpodstawowyZnak">
    <w:name w:val="Tekst podstawowy Znak"/>
    <w:basedOn w:val="Domylnaczcionkaakapitu"/>
    <w:link w:val="Tekstpodstawowy"/>
    <w:uiPriority w:val="99"/>
    <w:rsid w:val="000E34C9"/>
  </w:style>
  <w:style w:type="paragraph" w:customStyle="1" w:styleId="tekwzpod">
    <w:name w:val="tekwzpod"/>
    <w:rsid w:val="00CA3864"/>
    <w:pPr>
      <w:widowControl w:val="0"/>
      <w:tabs>
        <w:tab w:val="left" w:pos="822"/>
        <w:tab w:val="left" w:leader="dot" w:pos="1417"/>
      </w:tabs>
      <w:suppressAutoHyphens/>
      <w:spacing w:line="220" w:lineRule="atLeast"/>
      <w:ind w:left="822" w:right="567" w:hanging="255"/>
      <w:jc w:val="both"/>
    </w:pPr>
    <w:rPr>
      <w:rFonts w:ascii="PL SwitzerlandCondensed" w:eastAsia="Arial" w:hAnsi="PL SwitzerlandCondensed"/>
      <w:sz w:val="1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805506823">
      <w:bodyDiv w:val="1"/>
      <w:marLeft w:val="0"/>
      <w:marRight w:val="0"/>
      <w:marTop w:val="0"/>
      <w:marBottom w:val="0"/>
      <w:divBdr>
        <w:top w:val="none" w:sz="0" w:space="0" w:color="auto"/>
        <w:left w:val="none" w:sz="0" w:space="0" w:color="auto"/>
        <w:bottom w:val="none" w:sz="0" w:space="0" w:color="auto"/>
        <w:right w:val="none" w:sz="0" w:space="0" w:color="auto"/>
      </w:divBdr>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75663-1C97-4D32-AD33-8744E0A6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nowy wzór listownik</Template>
  <TotalTime>10</TotalTime>
  <Pages>2</Pages>
  <Words>752</Words>
  <Characters>4343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Piechowiak, Błażej</cp:lastModifiedBy>
  <cp:revision>3</cp:revision>
  <cp:lastPrinted>2011-03-31T12:42:00Z</cp:lastPrinted>
  <dcterms:created xsi:type="dcterms:W3CDTF">2014-06-24T14:27:00Z</dcterms:created>
  <dcterms:modified xsi:type="dcterms:W3CDTF">2014-06-24T14:37:00Z</dcterms:modified>
</cp:coreProperties>
</file>