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938" w:rsidRPr="00383573" w:rsidRDefault="00537938" w:rsidP="00E15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0" w:name="_GoBack"/>
      <w:bookmarkEnd w:id="0"/>
      <w:r w:rsidRPr="00383573">
        <w:rPr>
          <w:rFonts w:ascii="Times New Roman" w:hAnsi="Times New Roman" w:cs="Times New Roman"/>
          <w:b/>
          <w:bCs/>
          <w:sz w:val="40"/>
          <w:szCs w:val="40"/>
        </w:rPr>
        <w:t>PROGRAM SKUPU AKCJI WŁASNYCH</w:t>
      </w:r>
    </w:p>
    <w:p w:rsidR="00537938" w:rsidRPr="00383573" w:rsidRDefault="00537938" w:rsidP="00E15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83573">
        <w:rPr>
          <w:rFonts w:ascii="Times New Roman" w:hAnsi="Times New Roman" w:cs="Times New Roman"/>
          <w:b/>
          <w:bCs/>
          <w:sz w:val="18"/>
          <w:szCs w:val="18"/>
        </w:rPr>
        <w:t>DGA S.A. Z SIEDZIB</w:t>
      </w:r>
      <w:r w:rsidRPr="00383573">
        <w:rPr>
          <w:rFonts w:ascii="TimesNewRoman,Bold" w:hAnsi="TimesNewRoman,Bold" w:cs="TimesNewRoman,Bold"/>
          <w:b/>
          <w:bCs/>
          <w:sz w:val="18"/>
          <w:szCs w:val="18"/>
        </w:rPr>
        <w:t xml:space="preserve">Ą </w:t>
      </w:r>
      <w:r w:rsidRPr="00383573">
        <w:rPr>
          <w:rFonts w:ascii="Times New Roman" w:hAnsi="Times New Roman" w:cs="Times New Roman"/>
          <w:b/>
          <w:bCs/>
          <w:sz w:val="18"/>
          <w:szCs w:val="18"/>
        </w:rPr>
        <w:t>W POZNANIU</w:t>
      </w:r>
    </w:p>
    <w:p w:rsidR="00E15AC6" w:rsidRPr="00383573" w:rsidRDefault="00E15AC6" w:rsidP="00E15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7938" w:rsidRPr="00383573" w:rsidRDefault="00537938" w:rsidP="00E15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3573">
        <w:rPr>
          <w:rFonts w:ascii="Times New Roman" w:hAnsi="Times New Roman" w:cs="Times New Roman"/>
          <w:b/>
          <w:bCs/>
          <w:sz w:val="28"/>
          <w:szCs w:val="28"/>
        </w:rPr>
        <w:t>Pozna</w:t>
      </w:r>
      <w:r w:rsidR="00E15AC6" w:rsidRPr="00383573">
        <w:rPr>
          <w:rFonts w:ascii="Times New Roman" w:hAnsi="Times New Roman" w:cs="Times New Roman"/>
          <w:b/>
          <w:bCs/>
          <w:sz w:val="28"/>
          <w:szCs w:val="28"/>
        </w:rPr>
        <w:t>ń</w:t>
      </w:r>
      <w:r w:rsidRPr="00383573">
        <w:rPr>
          <w:rFonts w:ascii="Times New Roman" w:hAnsi="Times New Roman" w:cs="Times New Roman"/>
          <w:b/>
          <w:bCs/>
          <w:sz w:val="28"/>
          <w:szCs w:val="28"/>
        </w:rPr>
        <w:t xml:space="preserve">, dnia </w:t>
      </w:r>
      <w:r w:rsidR="00383573" w:rsidRPr="0038357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5AC6" w:rsidRPr="00383573">
        <w:rPr>
          <w:rFonts w:ascii="Times New Roman" w:hAnsi="Times New Roman" w:cs="Times New Roman"/>
          <w:b/>
          <w:bCs/>
          <w:sz w:val="28"/>
          <w:szCs w:val="28"/>
        </w:rPr>
        <w:t xml:space="preserve"> września 2014</w:t>
      </w:r>
      <w:r w:rsidRPr="00383573">
        <w:rPr>
          <w:rFonts w:ascii="Times New Roman" w:hAnsi="Times New Roman" w:cs="Times New Roman"/>
          <w:b/>
          <w:bCs/>
          <w:sz w:val="28"/>
          <w:szCs w:val="28"/>
        </w:rPr>
        <w:t xml:space="preserve"> r.</w:t>
      </w:r>
    </w:p>
    <w:p w:rsidR="00537938" w:rsidRPr="00383573" w:rsidRDefault="00537938" w:rsidP="005379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938" w:rsidRPr="00383573" w:rsidRDefault="00537938" w:rsidP="00E15AC6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sz w:val="20"/>
          <w:szCs w:val="20"/>
        </w:rPr>
      </w:pPr>
      <w:r w:rsidRPr="00383573">
        <w:rPr>
          <w:rFonts w:ascii="Tahoma,Bold" w:hAnsi="Tahoma,Bold" w:cs="Tahoma,Bold"/>
          <w:b/>
          <w:bCs/>
          <w:sz w:val="20"/>
          <w:szCs w:val="20"/>
        </w:rPr>
        <w:t>§ 1. [PODSTAWA PRAWNA]</w:t>
      </w:r>
    </w:p>
    <w:p w:rsidR="00E15AC6" w:rsidRPr="00383573" w:rsidRDefault="00E15AC6" w:rsidP="00E15AC6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sz w:val="20"/>
          <w:szCs w:val="20"/>
        </w:rPr>
      </w:pPr>
    </w:p>
    <w:p w:rsidR="00A17794" w:rsidRPr="00383573" w:rsidRDefault="00537938" w:rsidP="00A177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Program skupu akcji własnych („Program”) DGA S.A., przyjęty został w oparciu o uchwałę Zarządu DGA</w:t>
      </w:r>
      <w:r w:rsidR="00E15AC6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S.A. z dnia 28 listopada 2012 r., w oparciu o upoważnienie kompetencyjne wynikające z uchwały nr 5 i</w:t>
      </w:r>
      <w:r w:rsidR="00E15AC6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6 Nadzwyczajnego Walnego Zgromadzenia DGA S.A. („NWZ DGA S.A.”) z dnia 7 grudnia 2011 r. „w</w:t>
      </w:r>
      <w:r w:rsidR="00E15AC6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sprawie upoważnienia Zarządu do nabywania akcji wła</w:t>
      </w:r>
      <w:r w:rsidR="00E15AC6" w:rsidRPr="00383573">
        <w:rPr>
          <w:rFonts w:ascii="Tahoma" w:hAnsi="Tahoma" w:cs="Tahoma"/>
          <w:sz w:val="20"/>
          <w:szCs w:val="20"/>
        </w:rPr>
        <w:t>snych Spółki”</w:t>
      </w:r>
      <w:r w:rsidR="008F0A78" w:rsidRPr="00383573">
        <w:rPr>
          <w:rFonts w:ascii="Tahoma" w:hAnsi="Tahoma" w:cs="Tahoma"/>
          <w:sz w:val="20"/>
          <w:szCs w:val="20"/>
        </w:rPr>
        <w:t xml:space="preserve">. Następnie uchwałą </w:t>
      </w:r>
      <w:r w:rsidR="00E15AC6" w:rsidRPr="00383573">
        <w:rPr>
          <w:rFonts w:ascii="Tahoma" w:hAnsi="Tahoma" w:cs="Tahoma"/>
          <w:sz w:val="20"/>
          <w:szCs w:val="20"/>
        </w:rPr>
        <w:t>Zarządu DGA</w:t>
      </w:r>
      <w:r w:rsidR="0005261E" w:rsidRPr="00383573">
        <w:rPr>
          <w:rFonts w:ascii="Tahoma" w:hAnsi="Tahoma" w:cs="Tahoma"/>
          <w:sz w:val="20"/>
          <w:szCs w:val="20"/>
        </w:rPr>
        <w:t xml:space="preserve"> S.A</w:t>
      </w:r>
      <w:r w:rsidR="00383573" w:rsidRPr="00383573">
        <w:rPr>
          <w:rFonts w:ascii="Tahoma" w:hAnsi="Tahoma" w:cs="Tahoma"/>
          <w:sz w:val="20"/>
          <w:szCs w:val="20"/>
        </w:rPr>
        <w:t>. z dnia 5</w:t>
      </w:r>
      <w:r w:rsidR="0005261E" w:rsidRPr="00383573">
        <w:rPr>
          <w:rFonts w:ascii="Tahoma" w:hAnsi="Tahoma" w:cs="Tahoma"/>
          <w:sz w:val="20"/>
          <w:szCs w:val="20"/>
        </w:rPr>
        <w:t xml:space="preserve"> września 2014 r., w </w:t>
      </w:r>
      <w:r w:rsidR="00A17794" w:rsidRPr="00383573">
        <w:rPr>
          <w:rFonts w:ascii="Tahoma" w:hAnsi="Tahoma" w:cs="Tahoma"/>
          <w:sz w:val="20"/>
          <w:szCs w:val="20"/>
        </w:rPr>
        <w:t>związku z uchwałą nr 24 Zwyczajnego Walnego Zgromadzenia DGA S.A.</w:t>
      </w:r>
      <w:r w:rsidR="00C43BD0" w:rsidRPr="00383573">
        <w:rPr>
          <w:rFonts w:ascii="Tahoma" w:hAnsi="Tahoma" w:cs="Tahoma"/>
          <w:sz w:val="20"/>
          <w:szCs w:val="20"/>
        </w:rPr>
        <w:t xml:space="preserve"> („ZWZ DGA S.A.”)</w:t>
      </w:r>
      <w:r w:rsidR="00A17794" w:rsidRPr="00383573">
        <w:rPr>
          <w:rFonts w:ascii="Tahoma" w:hAnsi="Tahoma" w:cs="Tahoma"/>
          <w:sz w:val="20"/>
          <w:szCs w:val="20"/>
        </w:rPr>
        <w:t xml:space="preserve"> z dnia 23 czerwca 2014 r. w sprawie zmiany uchwały nr 5 Nadzwyczajnego Walnego Zgromadzenia DGA S.A. z dnia 7 grudnia 2011 r., zaktualizowano „Program skupu akcji własnych”.</w:t>
      </w:r>
    </w:p>
    <w:p w:rsidR="00A17794" w:rsidRPr="00383573" w:rsidRDefault="00A17794" w:rsidP="00A17794">
      <w:pPr>
        <w:pStyle w:val="Akapitzlist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A17794" w:rsidRPr="00383573" w:rsidRDefault="00537938" w:rsidP="00A177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Program dotyczy akcji DGA S.A. notowanych na rynku podstawowym Giełdy Papierów Wartościowych</w:t>
      </w:r>
      <w:r w:rsidR="00A17794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S.A. w Warszawie ( „GPW S.A.”).</w:t>
      </w:r>
    </w:p>
    <w:p w:rsidR="00A17794" w:rsidRPr="00383573" w:rsidRDefault="00A17794" w:rsidP="00A1779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 xml:space="preserve">Podstawą prawną do podjęcia uchwały przez Zarząd DGA S.A. oraz </w:t>
      </w:r>
      <w:r w:rsidR="00C43BD0" w:rsidRPr="00383573">
        <w:rPr>
          <w:rFonts w:ascii="Tahoma" w:hAnsi="Tahoma" w:cs="Tahoma"/>
          <w:sz w:val="20"/>
          <w:szCs w:val="20"/>
        </w:rPr>
        <w:t>NWZ DGA S.A i ZWZ DGA S.A. i</w:t>
      </w:r>
      <w:r w:rsidRPr="00383573">
        <w:rPr>
          <w:rFonts w:ascii="Tahoma" w:hAnsi="Tahoma" w:cs="Tahoma"/>
          <w:sz w:val="20"/>
          <w:szCs w:val="20"/>
        </w:rPr>
        <w:t>. jest art. 359 § 1 i</w:t>
      </w:r>
      <w:r w:rsidR="00C43BD0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art.362 § 1 pkt 5 i 8) Kodeksu spółek handlowych oraz § 8 ust. 1 Statutu DGA S.A.</w:t>
      </w:r>
    </w:p>
    <w:p w:rsidR="00C43BD0" w:rsidRPr="00383573" w:rsidRDefault="00C43BD0" w:rsidP="00C43BD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Na mocy uchwały NWZ DGA S.A.</w:t>
      </w:r>
      <w:r w:rsidR="00C43BD0" w:rsidRPr="00383573">
        <w:rPr>
          <w:rFonts w:ascii="Tahoma" w:hAnsi="Tahoma" w:cs="Tahoma"/>
          <w:sz w:val="20"/>
          <w:szCs w:val="20"/>
        </w:rPr>
        <w:t xml:space="preserve"> i ZWZ DGA S.A.</w:t>
      </w:r>
      <w:r w:rsidRPr="00383573">
        <w:rPr>
          <w:rFonts w:ascii="Tahoma" w:hAnsi="Tahoma" w:cs="Tahoma"/>
          <w:sz w:val="20"/>
          <w:szCs w:val="20"/>
        </w:rPr>
        <w:t>, Zarząd DGA S.A. upoważniony został do nabywania akcji własnych</w:t>
      </w:r>
      <w:r w:rsidR="00C43BD0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przez DGA S.A. („Skup akcji własnych”) oraz do podjęcia wszelkich koniecznych czynności niezbędnych</w:t>
      </w:r>
      <w:r w:rsidR="00C43BD0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do nabycia akcji DGA S.A. Upoważnienie udzielone Zarządowi DGA S.A. dotyczy Skupu akcji własnych</w:t>
      </w:r>
      <w:r w:rsidR="00C43BD0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na następujących zasadach i warunkach:</w:t>
      </w:r>
    </w:p>
    <w:p w:rsidR="00C43BD0" w:rsidRPr="00383573" w:rsidRDefault="00C43BD0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,Bold" w:hAnsi="Tahoma,Bold" w:cs="Tahoma,Bold"/>
          <w:b/>
          <w:bCs/>
          <w:sz w:val="16"/>
          <w:szCs w:val="16"/>
        </w:rPr>
      </w:pPr>
    </w:p>
    <w:p w:rsidR="00537938" w:rsidRPr="00383573" w:rsidRDefault="001A79C3" w:rsidP="001A79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Łączna wartość nominalna nabywanych akcji nie przekroczy 20% (dwadzieścia procent) wartości nominalnej kapitału zakładowego Spółki, co odpowiada liczbie 226.055 (dwieście dwadzieścia sześć tysięcy pięćdziesiąt pięć) akcji o wartości nominalnej 8 (osiem) złotych każda, uwzględniając również wartość nominalną pozostałych akcji własnych, które nie zostały zbyte.</w:t>
      </w:r>
    </w:p>
    <w:p w:rsidR="001A79C3" w:rsidRPr="00383573" w:rsidRDefault="001A79C3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Łączna maksymalna wartość zapłaty za nabywane akcje będzie nie większa niż 9.042.230 (dziewięć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milionów czterdzieści dwa tysiące dwieście trzydzieści złotych) zł, kwota ta obejmuje cenę zapłaty za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nabywane akcje oraz koszty nabycia.</w:t>
      </w:r>
    </w:p>
    <w:p w:rsidR="001A79C3" w:rsidRPr="00383573" w:rsidRDefault="001A79C3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A79C3" w:rsidRPr="00383573" w:rsidRDefault="001A79C3" w:rsidP="001A79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Cena, za którą Spółka będzie nabywać własne akcje nie może być wartością wyższą spośród: ceny ostatniego niezależnego obrotu i najwyższej, bieżącej, niezależnej oferty w transakcjach zawieranych na sesjach giełdowych GPW, przy czym nie może być wyższa niż 40 (czterdzieści) złotych, oraz niższa niż 0,50 zł (pięćdziesiąt groszy).</w:t>
      </w:r>
    </w:p>
    <w:p w:rsidR="001A79C3" w:rsidRPr="00383573" w:rsidRDefault="001A79C3" w:rsidP="001A79C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1A79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Skup akcji własnych będzie prowadzony nie dłużej jednak niż do chwili wyczerpania środków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przeznaczonych na realizację Skupu akcji własnych i nie dłużej niż do dnia 7 grudnia 2016 roku.</w:t>
      </w:r>
    </w:p>
    <w:p w:rsidR="001A79C3" w:rsidRPr="00383573" w:rsidRDefault="001A79C3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1A79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Środki przeznaczone na realizację Skupu akcji własnych będą pochodzić ze środków własnych DGA S.A.</w:t>
      </w:r>
    </w:p>
    <w:p w:rsidR="001A79C3" w:rsidRPr="00383573" w:rsidRDefault="001A79C3" w:rsidP="001A79C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Akcje własne Spółki mogą być nabywane za pośrednictwem domu maklerskiego w transakcjach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giełdowych i pozagiełdowych, w tym w obrocie anonimowym jak i w transakcjach pakietowych.</w:t>
      </w:r>
    </w:p>
    <w:p w:rsidR="001A79C3" w:rsidRPr="00383573" w:rsidRDefault="001A79C3" w:rsidP="001A79C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Program podany zostanie do publicznej wiadomości zgodnie z art. 56 ustawy z dnia 29 lipca 2005 r. „o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 xml:space="preserve">ofercie publicznej i warunkach wprowadzania instrumentów finansowych do </w:t>
      </w:r>
      <w:r w:rsidRPr="00383573">
        <w:rPr>
          <w:rFonts w:ascii="Tahoma" w:hAnsi="Tahoma" w:cs="Tahoma"/>
          <w:sz w:val="20"/>
          <w:szCs w:val="20"/>
        </w:rPr>
        <w:lastRenderedPageBreak/>
        <w:t>zorganizowanego systemu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obrotu oraz o spółkach publicznych”, przed rozpoczęciem realizacji Skupu akcji własnych.</w:t>
      </w:r>
    </w:p>
    <w:p w:rsidR="001A79C3" w:rsidRPr="00383573" w:rsidRDefault="001A79C3" w:rsidP="001A79C3">
      <w:pPr>
        <w:pStyle w:val="Akapitzlist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1A79C3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sz w:val="20"/>
          <w:szCs w:val="20"/>
        </w:rPr>
      </w:pPr>
      <w:r w:rsidRPr="00383573">
        <w:rPr>
          <w:rFonts w:ascii="Tahoma,Bold" w:hAnsi="Tahoma,Bold" w:cs="Tahoma,Bold"/>
          <w:b/>
          <w:bCs/>
          <w:sz w:val="20"/>
          <w:szCs w:val="20"/>
        </w:rPr>
        <w:t>§ 2. [CEL PROGRAMU]</w:t>
      </w:r>
    </w:p>
    <w:p w:rsidR="001A79C3" w:rsidRPr="00383573" w:rsidRDefault="001A79C3" w:rsidP="001A79C3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sz w:val="20"/>
          <w:szCs w:val="20"/>
        </w:rPr>
      </w:pPr>
    </w:p>
    <w:p w:rsidR="00537938" w:rsidRPr="00383573" w:rsidRDefault="00537938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Skup akcji własnych uzasadniony jest aktualną sytuacją panującą na rynku kapitałowym. W opinii Zarządu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DGA S.A. akcje DGA S.A. są objęte znacznym niedowartościowaniem. Obecny poziom wartości akcji DGA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S.A. znacznie bowiem odbiega od ich wartości realnej. Realizacja Skupu akcji własnych przyczyni się do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podwyższenia wartości rynkowej pozostałych akcji DGA S.A.</w:t>
      </w:r>
    </w:p>
    <w:p w:rsidR="001A79C3" w:rsidRPr="00383573" w:rsidRDefault="001A79C3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Ponadto Zarząd DGA S.A. uznał, iż realizacja Programu może być połączona z wykorzystaniem środków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zgromadzonych na kapitale zapasowym DGA S.A., nie wypłaconych w ramach dywidendy z zysku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wygenerowanego w latach poprzednich.</w:t>
      </w:r>
    </w:p>
    <w:p w:rsidR="001A79C3" w:rsidRPr="00383573" w:rsidRDefault="001A79C3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Zdaniem Zarządu DGA S.A. Skup akcji własnych wskazany w ramach opublikowanego Programu stwarza</w:t>
      </w:r>
      <w:r w:rsidR="001A79C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czytelną możliwość wycofania się inwestorów z inwestycji w postaci akcji DGA S.A.</w:t>
      </w:r>
    </w:p>
    <w:p w:rsidR="001A79C3" w:rsidRPr="00383573" w:rsidRDefault="001A79C3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0D2823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sz w:val="20"/>
          <w:szCs w:val="20"/>
        </w:rPr>
      </w:pPr>
      <w:r w:rsidRPr="00383573">
        <w:rPr>
          <w:rFonts w:ascii="Tahoma,Bold" w:hAnsi="Tahoma,Bold" w:cs="Tahoma,Bold"/>
          <w:b/>
          <w:bCs/>
          <w:sz w:val="20"/>
          <w:szCs w:val="20"/>
        </w:rPr>
        <w:t>§ 3. [SZCZEGÓŁOWE UWARUNKOWANIA PROGRAMU]</w:t>
      </w:r>
    </w:p>
    <w:p w:rsidR="000D2823" w:rsidRPr="00383573" w:rsidRDefault="000D2823" w:rsidP="000D2823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sz w:val="20"/>
          <w:szCs w:val="20"/>
        </w:rPr>
      </w:pPr>
    </w:p>
    <w:p w:rsidR="00537938" w:rsidRPr="00383573" w:rsidRDefault="00537938" w:rsidP="000D282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Program zostanie zakończony najpóźniej w dniu 7 grudnia 2016 r.</w:t>
      </w:r>
    </w:p>
    <w:p w:rsidR="000D2823" w:rsidRPr="00383573" w:rsidRDefault="000D2823" w:rsidP="000D282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Realizacja Programu będzie pozostawać w zgodzie ze stosownymi regulacjami prawa polskiego oraz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prawa Unii Europejskiej, a także zasadami ustalonymi w uchwałach nr 5-6 NWZ DGA S.A. z dnia 07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grudnia 2011 r.</w:t>
      </w:r>
      <w:r w:rsidR="000D2823" w:rsidRPr="00383573">
        <w:rPr>
          <w:rFonts w:ascii="Tahoma" w:hAnsi="Tahoma" w:cs="Tahoma"/>
          <w:sz w:val="20"/>
          <w:szCs w:val="20"/>
        </w:rPr>
        <w:t xml:space="preserve"> i uchwałą nr 24 ZWZ DGA S.A. z dnia 23 czerwca 2014 r.</w:t>
      </w:r>
    </w:p>
    <w:p w:rsidR="000D2823" w:rsidRPr="00383573" w:rsidRDefault="000D2823" w:rsidP="000D282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0D282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Programem objęte są akcje DGA S.A. notowane na rynku podstawowym GPW S.A.</w:t>
      </w:r>
    </w:p>
    <w:p w:rsidR="000D2823" w:rsidRPr="00383573" w:rsidRDefault="000D2823" w:rsidP="000D282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Akcje DGA S.A. nabywane będą za pośrednictwem Domu Maklerskiego BZ WBK S.A. z siedzibą w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Poznaniu w obrocie anonimowym.</w:t>
      </w:r>
    </w:p>
    <w:p w:rsidR="000D2823" w:rsidRPr="00383573" w:rsidRDefault="000D2823" w:rsidP="000D282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D2823" w:rsidRPr="00383573" w:rsidRDefault="00537938" w:rsidP="00A1779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Akcje DGA S.A. skupowane w ramach realizacji Programu mogą być nabywane w transakcjach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pakietowych.</w:t>
      </w:r>
    </w:p>
    <w:p w:rsidR="000D2823" w:rsidRPr="00383573" w:rsidRDefault="000D2823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Wysokość środków przeznaczonych na nabycie akcji DGA S.A. będzie nie większa niż 9.042.230 zł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(dziewięć milionów czterdzieści dwa tysiące dwieście trzydzieści złotych), przy czym środki przeznaczone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na nabycie akcji będą pochodzić ze środków własnych Spółki – specjalnie utworzonego kapitału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rezerwowego pn. „Środki na nabycie akcji własnych”.</w:t>
      </w:r>
    </w:p>
    <w:p w:rsidR="000D2823" w:rsidRPr="00383573" w:rsidRDefault="000D2823" w:rsidP="000D282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Po zakończeniu procesu nabywania akcji własnych przez DGA S.A. Zarząd DGA S.A., w przypadku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zaistnienia takiej konieczności, może zwołać Walne Zgromadzenie DGA S.A. w celu podjęcia uchwały o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umorzeniu całości bądź części akcji własnych DGA S.A.</w:t>
      </w:r>
    </w:p>
    <w:p w:rsidR="000D2823" w:rsidRPr="00383573" w:rsidRDefault="000D2823" w:rsidP="000D282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Zarząd DGA S.A. kierując się interesem DGA S.A. może, po zasięgnięciu opinii Rady Nadzorczej DGA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S.A.:</w:t>
      </w:r>
    </w:p>
    <w:p w:rsidR="000D2823" w:rsidRPr="00383573" w:rsidRDefault="000D2823" w:rsidP="000D282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zakończyć Skup akcji własnych przed upływem terminu tj. przed dniem 7 grudnia 2016 r. lub przed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wyczerpaniem środków przeznaczonych na Skup akcji własnych,</w:t>
      </w:r>
    </w:p>
    <w:p w:rsidR="000D2823" w:rsidRPr="00383573" w:rsidRDefault="000D2823" w:rsidP="000D282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0D282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 xml:space="preserve">zrezygnować z przeprowadzenia Skupu akcji własnych w całości lub w </w:t>
      </w:r>
      <w:r w:rsidR="000D2823" w:rsidRPr="00383573">
        <w:rPr>
          <w:rFonts w:ascii="Tahoma" w:hAnsi="Tahoma" w:cs="Tahoma"/>
          <w:sz w:val="20"/>
          <w:szCs w:val="20"/>
        </w:rPr>
        <w:t>części</w:t>
      </w:r>
      <w:r w:rsidRPr="00383573">
        <w:rPr>
          <w:rFonts w:ascii="Tahoma" w:hAnsi="Tahoma" w:cs="Tahoma"/>
          <w:sz w:val="20"/>
          <w:szCs w:val="20"/>
        </w:rPr>
        <w:t>.</w:t>
      </w:r>
    </w:p>
    <w:p w:rsidR="000D2823" w:rsidRPr="00383573" w:rsidRDefault="000D2823" w:rsidP="000D282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W przypadku podjęcia decyzji, o których mowa jest w ust. 8 Zarząd DGA S.A. przekaże ją do informacji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publicznej w sposób przewidziany dla opublikowania Programu.</w:t>
      </w:r>
    </w:p>
    <w:p w:rsidR="000D2823" w:rsidRPr="00383573" w:rsidRDefault="000D2823" w:rsidP="000D282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Cena, za którą DGA S.A. będzie nabywać własne akcje nie może być wartością wyższą spośród ceny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ostatniego niezależnego obrotu i najwyższej, bieżącej, niezależnej oferty w transakcjach zawieranych na</w:t>
      </w:r>
      <w:r w:rsidR="000D2823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sesjach giełdowych GPW S.A. przy czym nie może</w:t>
      </w:r>
      <w:r w:rsidR="00694AF9" w:rsidRPr="00383573">
        <w:rPr>
          <w:rFonts w:ascii="Tahoma" w:hAnsi="Tahoma" w:cs="Tahoma"/>
          <w:sz w:val="20"/>
          <w:szCs w:val="20"/>
        </w:rPr>
        <w:t xml:space="preserve"> być wyższa od 40 (czterdzieści złotych</w:t>
      </w:r>
      <w:r w:rsidRPr="00383573">
        <w:rPr>
          <w:rFonts w:ascii="Tahoma" w:hAnsi="Tahoma" w:cs="Tahoma"/>
          <w:sz w:val="20"/>
          <w:szCs w:val="20"/>
        </w:rPr>
        <w:t>) zł, a niższa niż 0,50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(pięćdziesiąt groszy) zł.</w:t>
      </w:r>
    </w:p>
    <w:p w:rsidR="00537938" w:rsidRPr="00383573" w:rsidRDefault="00537938" w:rsidP="00A1779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lastRenderedPageBreak/>
        <w:t>Z wyłączeniem akcji nabywanych w pakietach, DGA S.A. dziennie będzie mogła nabyć nie więcej niż 25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% (słownie: dwadzieścia pięć procent) odpowiedniej, średniej, dziennej wielkości obrotów akcjami na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GPW S.A. w ciągu 20 dni poprzedzających każdy dzień nabycia. W przypadku wyjątkowo niskiej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płynności DGA S.A. może przekroczyć granicę 25% na zasadach określonych art. 5 Rozporządzenia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Komisji nr 2273/2003.</w:t>
      </w:r>
    </w:p>
    <w:p w:rsidR="00694AF9" w:rsidRPr="00383573" w:rsidRDefault="00694AF9" w:rsidP="00694AF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694AF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Zarząd DGA S.A. poda do publicznej wiadomości:</w:t>
      </w:r>
    </w:p>
    <w:p w:rsidR="00694AF9" w:rsidRPr="00383573" w:rsidRDefault="00694AF9" w:rsidP="00694AF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informacje o: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podstawie prawnej nabycia akcji, liczbie nabytych akcji, celu nabycia akcji, średniej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jednostkowej cenię nabycia akcji, wartości nominalnej akcji i ich udziału w kapitale zakładowym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DGA S.A. oraz liczbie głosów na walnym zgromadzeniu, odpowiadających nabytym lub zbytym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akcjom, łącznej liczbie posiadanych akcji wraz z określeniem liczby głosów na walnym zgromadzeniu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odpowiadających posiadanym akcjom;</w:t>
      </w:r>
    </w:p>
    <w:p w:rsidR="00694AF9" w:rsidRPr="00383573" w:rsidRDefault="00694AF9" w:rsidP="00694AF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694AF9" w:rsidP="00694A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K</w:t>
      </w:r>
      <w:r w:rsidR="00537938" w:rsidRPr="00383573">
        <w:rPr>
          <w:rFonts w:ascii="Tahoma" w:hAnsi="Tahoma" w:cs="Tahoma"/>
          <w:sz w:val="20"/>
          <w:szCs w:val="20"/>
        </w:rPr>
        <w:t>ażdorazowo informacje te zostaną upublicznione najpóźniej w drugim dniu sesji na rynku</w:t>
      </w:r>
      <w:r w:rsidRPr="00383573">
        <w:rPr>
          <w:rFonts w:ascii="Tahoma" w:hAnsi="Tahoma" w:cs="Tahoma"/>
          <w:sz w:val="20"/>
          <w:szCs w:val="20"/>
        </w:rPr>
        <w:t xml:space="preserve"> </w:t>
      </w:r>
      <w:r w:rsidR="00537938" w:rsidRPr="00383573">
        <w:rPr>
          <w:rFonts w:ascii="Tahoma" w:hAnsi="Tahoma" w:cs="Tahoma"/>
          <w:sz w:val="20"/>
          <w:szCs w:val="20"/>
        </w:rPr>
        <w:t>giełdowym przypadającym po tygodniowym okresie, w którym</w:t>
      </w:r>
      <w:r w:rsidRPr="00383573">
        <w:rPr>
          <w:rFonts w:ascii="Tahoma" w:hAnsi="Tahoma" w:cs="Tahoma"/>
          <w:sz w:val="20"/>
          <w:szCs w:val="20"/>
        </w:rPr>
        <w:t xml:space="preserve"> dokonano zakupu akcji własnych. O</w:t>
      </w:r>
      <w:r w:rsidR="00537938" w:rsidRPr="00383573">
        <w:rPr>
          <w:rFonts w:ascii="Tahoma" w:hAnsi="Tahoma" w:cs="Tahoma"/>
          <w:sz w:val="20"/>
          <w:szCs w:val="20"/>
        </w:rPr>
        <w:t xml:space="preserve">znacza to, iż raporty o zakupie akcji własnych obejmować będą </w:t>
      </w:r>
      <w:r w:rsidRPr="00383573">
        <w:rPr>
          <w:rFonts w:ascii="Tahoma" w:hAnsi="Tahoma" w:cs="Tahoma"/>
          <w:sz w:val="20"/>
          <w:szCs w:val="20"/>
        </w:rPr>
        <w:t>tygodniowe okresy rozliczeniowe.</w:t>
      </w:r>
    </w:p>
    <w:p w:rsidR="00694AF9" w:rsidRPr="00383573" w:rsidRDefault="00694AF9" w:rsidP="00694A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694A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Zarząd DGA S.A. zwolniony będzie z obowiązku upublicznia informacji o zakupie akcji własnych w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przypadku gdy nie nabędzie żadnych akcji w danym tyg</w:t>
      </w:r>
      <w:r w:rsidR="00694AF9" w:rsidRPr="00383573">
        <w:rPr>
          <w:rFonts w:ascii="Tahoma" w:hAnsi="Tahoma" w:cs="Tahoma"/>
          <w:sz w:val="20"/>
          <w:szCs w:val="20"/>
        </w:rPr>
        <w:t>odniowym okresie rozliczeniowym.</w:t>
      </w:r>
    </w:p>
    <w:p w:rsidR="00694AF9" w:rsidRPr="00383573" w:rsidRDefault="00694AF9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694A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Każdorazowo informacja ta upubliczniona zostanie w oparciu o raport przekazany DGA S.A. przez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dom maklerski skupujący akcje DGA S.A. we własnym imieniu lecz na rzecz DGA S.A.</w:t>
      </w:r>
    </w:p>
    <w:p w:rsidR="00694AF9" w:rsidRPr="00383573" w:rsidRDefault="00694AF9" w:rsidP="00A1779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694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po zakończeniu realizacji Programu – zbiorcze, szczegółowe sprawozdanie z jego realizacji.</w:t>
      </w:r>
    </w:p>
    <w:p w:rsidR="00694AF9" w:rsidRPr="00383573" w:rsidRDefault="00694AF9" w:rsidP="00694AF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Po zakończeniu Skupu akcji własnych, Zarząd DGA S.A. może zwołać niezwłocznie, nie później jednak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niż w ciągu 90 (słownie: dziewięćdziesięciu) dni od tego terminu, Walne Zgromadzenie DGA S.A., celem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jednoczesnego podjęcia stosownych uchwał o umorzeniu akcji.</w:t>
      </w:r>
    </w:p>
    <w:p w:rsidR="00694AF9" w:rsidRPr="00383573" w:rsidRDefault="00694AF9" w:rsidP="00694AF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A1779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 xml:space="preserve">Zarząd </w:t>
      </w:r>
      <w:r w:rsidR="002312DD">
        <w:rPr>
          <w:rFonts w:ascii="Tahoma" w:hAnsi="Tahoma" w:cs="Tahoma"/>
          <w:sz w:val="20"/>
          <w:szCs w:val="20"/>
        </w:rPr>
        <w:t>podejmuje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ostateczn</w:t>
      </w:r>
      <w:r w:rsidR="002312DD">
        <w:rPr>
          <w:rFonts w:ascii="Tahoma" w:hAnsi="Tahoma" w:cs="Tahoma"/>
          <w:sz w:val="20"/>
          <w:szCs w:val="20"/>
        </w:rPr>
        <w:t>ą decyzję</w:t>
      </w:r>
      <w:r w:rsidRPr="00383573">
        <w:rPr>
          <w:rFonts w:ascii="Tahoma" w:hAnsi="Tahoma" w:cs="Tahoma"/>
          <w:sz w:val="20"/>
          <w:szCs w:val="20"/>
        </w:rPr>
        <w:t xml:space="preserve"> odnośnie przeznaczenia wykupionych akcji albo ich części do umorzenia</w:t>
      </w:r>
      <w:r w:rsidR="00694AF9" w:rsidRPr="00383573">
        <w:rPr>
          <w:rFonts w:ascii="Tahoma" w:hAnsi="Tahoma" w:cs="Tahoma"/>
          <w:sz w:val="20"/>
          <w:szCs w:val="20"/>
        </w:rPr>
        <w:t>,</w:t>
      </w:r>
      <w:r w:rsidRPr="00383573">
        <w:rPr>
          <w:rFonts w:ascii="Tahoma" w:hAnsi="Tahoma" w:cs="Tahoma"/>
          <w:sz w:val="20"/>
          <w:szCs w:val="20"/>
        </w:rPr>
        <w:t xml:space="preserve"> do</w:t>
      </w:r>
      <w:r w:rsidR="00694AF9" w:rsidRPr="00383573">
        <w:rPr>
          <w:rFonts w:ascii="Tahoma" w:hAnsi="Tahoma" w:cs="Tahoma"/>
          <w:sz w:val="20"/>
          <w:szCs w:val="20"/>
        </w:rPr>
        <w:t xml:space="preserve"> </w:t>
      </w:r>
      <w:r w:rsidRPr="00383573">
        <w:rPr>
          <w:rFonts w:ascii="Tahoma" w:hAnsi="Tahoma" w:cs="Tahoma"/>
          <w:sz w:val="20"/>
          <w:szCs w:val="20"/>
        </w:rPr>
        <w:t>dalszej odsprzedaży</w:t>
      </w:r>
      <w:r w:rsidR="00694AF9" w:rsidRPr="00383573">
        <w:rPr>
          <w:rFonts w:ascii="Tahoma" w:hAnsi="Tahoma" w:cs="Tahoma"/>
          <w:sz w:val="20"/>
          <w:szCs w:val="20"/>
        </w:rPr>
        <w:t xml:space="preserve"> albo do uzupełnienia niedoborów scaleniowych</w:t>
      </w:r>
      <w:r w:rsidRPr="00383573">
        <w:rPr>
          <w:rFonts w:ascii="Tahoma" w:hAnsi="Tahoma" w:cs="Tahoma"/>
          <w:sz w:val="20"/>
          <w:szCs w:val="20"/>
        </w:rPr>
        <w:t>.</w:t>
      </w:r>
    </w:p>
    <w:p w:rsidR="00694AF9" w:rsidRPr="00383573" w:rsidRDefault="00694AF9" w:rsidP="00694AF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94AF9" w:rsidRPr="00383573" w:rsidRDefault="00694AF9" w:rsidP="00694AF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37938" w:rsidRPr="00383573" w:rsidRDefault="00537938" w:rsidP="00537938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  <w:r w:rsidRPr="00383573">
        <w:rPr>
          <w:rFonts w:ascii="Tahoma,Bold" w:hAnsi="Tahoma,Bold" w:cs="Tahoma,Bold"/>
          <w:b/>
          <w:bCs/>
          <w:sz w:val="20"/>
          <w:szCs w:val="20"/>
        </w:rPr>
        <w:t>Podpisy osób reprezentujących spółkę:</w:t>
      </w:r>
    </w:p>
    <w:p w:rsidR="00694AF9" w:rsidRPr="00383573" w:rsidRDefault="00694AF9" w:rsidP="00537938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694AF9" w:rsidRPr="00383573" w:rsidRDefault="00694AF9" w:rsidP="00537938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694AF9" w:rsidRPr="00383573" w:rsidRDefault="00694AF9" w:rsidP="00537938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694AF9" w:rsidRPr="00383573" w:rsidRDefault="00694AF9" w:rsidP="00537938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694AF9" w:rsidRPr="00383573" w:rsidRDefault="00537938" w:rsidP="005379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 xml:space="preserve">__________________________________ </w:t>
      </w:r>
    </w:p>
    <w:p w:rsidR="00694AF9" w:rsidRPr="00383573" w:rsidRDefault="00694AF9" w:rsidP="005379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83573">
        <w:rPr>
          <w:rFonts w:ascii="Tahoma,Bold" w:hAnsi="Tahoma,Bold" w:cs="Tahoma,Bold"/>
          <w:b/>
          <w:bCs/>
          <w:sz w:val="20"/>
          <w:szCs w:val="20"/>
        </w:rPr>
        <w:t>Andrzej Głowacki</w:t>
      </w:r>
    </w:p>
    <w:p w:rsidR="00694AF9" w:rsidRPr="00383573" w:rsidRDefault="00694AF9" w:rsidP="005379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83573">
        <w:rPr>
          <w:rFonts w:ascii="Tahoma,Bold" w:hAnsi="Tahoma,Bold" w:cs="Tahoma,Bold"/>
          <w:b/>
          <w:bCs/>
          <w:sz w:val="20"/>
          <w:szCs w:val="20"/>
        </w:rPr>
        <w:t>Prezes Zarządu</w:t>
      </w:r>
    </w:p>
    <w:p w:rsidR="00694AF9" w:rsidRPr="00383573" w:rsidRDefault="00694AF9" w:rsidP="005379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694AF9" w:rsidRPr="00383573" w:rsidRDefault="00694AF9" w:rsidP="00694AF9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694AF9" w:rsidRPr="00383573" w:rsidRDefault="00694AF9" w:rsidP="00694AF9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694AF9" w:rsidRPr="00383573" w:rsidRDefault="00694AF9" w:rsidP="00694AF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 xml:space="preserve">__________________________________ </w:t>
      </w:r>
    </w:p>
    <w:p w:rsidR="00694AF9" w:rsidRPr="00383573" w:rsidRDefault="00694AF9" w:rsidP="00694AF9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  <w:r w:rsidRPr="00383573">
        <w:rPr>
          <w:rFonts w:ascii="Tahoma,Bold" w:hAnsi="Tahoma,Bold" w:cs="Tahoma,Bold"/>
          <w:b/>
          <w:bCs/>
          <w:sz w:val="20"/>
          <w:szCs w:val="20"/>
        </w:rPr>
        <w:t>Anna Szymańska</w:t>
      </w:r>
    </w:p>
    <w:p w:rsidR="00694AF9" w:rsidRPr="00383573" w:rsidRDefault="00694AF9" w:rsidP="00694AF9">
      <w:r w:rsidRPr="00383573">
        <w:rPr>
          <w:rFonts w:ascii="Tahoma,Bold" w:hAnsi="Tahoma,Bold" w:cs="Tahoma,Bold"/>
          <w:b/>
          <w:bCs/>
          <w:sz w:val="20"/>
          <w:szCs w:val="20"/>
        </w:rPr>
        <w:t>Wiceprezes Zarządu</w:t>
      </w:r>
    </w:p>
    <w:p w:rsidR="00694AF9" w:rsidRPr="00383573" w:rsidRDefault="00694AF9" w:rsidP="005379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694AF9" w:rsidRPr="00383573" w:rsidRDefault="00694AF9" w:rsidP="005379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37938" w:rsidRPr="00383573" w:rsidRDefault="00537938" w:rsidP="005379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83573">
        <w:rPr>
          <w:rFonts w:ascii="Tahoma" w:hAnsi="Tahoma" w:cs="Tahoma"/>
          <w:sz w:val="20"/>
          <w:szCs w:val="20"/>
        </w:rPr>
        <w:t>______________________________________</w:t>
      </w:r>
    </w:p>
    <w:p w:rsidR="00537938" w:rsidRPr="00383573" w:rsidRDefault="00537938" w:rsidP="00537938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  <w:r w:rsidRPr="00383573">
        <w:rPr>
          <w:rFonts w:ascii="Tahoma,Bold" w:hAnsi="Tahoma,Bold" w:cs="Tahoma,Bold"/>
          <w:b/>
          <w:bCs/>
          <w:sz w:val="20"/>
          <w:szCs w:val="20"/>
        </w:rPr>
        <w:t>Mirosław Marek</w:t>
      </w:r>
    </w:p>
    <w:p w:rsidR="00537938" w:rsidRDefault="00694AF9" w:rsidP="00537938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  <w:r w:rsidRPr="00383573">
        <w:rPr>
          <w:rFonts w:ascii="Tahoma,Bold" w:hAnsi="Tahoma,Bold" w:cs="Tahoma,Bold"/>
          <w:b/>
          <w:bCs/>
          <w:sz w:val="20"/>
          <w:szCs w:val="20"/>
        </w:rPr>
        <w:t>Wiceprezes Zarządu</w:t>
      </w:r>
    </w:p>
    <w:sectPr w:rsidR="00537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47E"/>
    <w:multiLevelType w:val="hybridMultilevel"/>
    <w:tmpl w:val="F3188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52CC"/>
    <w:multiLevelType w:val="hybridMultilevel"/>
    <w:tmpl w:val="52D05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77C00"/>
    <w:multiLevelType w:val="hybridMultilevel"/>
    <w:tmpl w:val="9F425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E5B15"/>
    <w:multiLevelType w:val="hybridMultilevel"/>
    <w:tmpl w:val="B09CDE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C3283"/>
    <w:multiLevelType w:val="hybridMultilevel"/>
    <w:tmpl w:val="3118B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B0BF0"/>
    <w:multiLevelType w:val="hybridMultilevel"/>
    <w:tmpl w:val="7C90F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FB5C7F"/>
    <w:multiLevelType w:val="hybridMultilevel"/>
    <w:tmpl w:val="E3A60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42E80"/>
    <w:multiLevelType w:val="hybridMultilevel"/>
    <w:tmpl w:val="975E5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938"/>
    <w:rsid w:val="0005261E"/>
    <w:rsid w:val="000D2823"/>
    <w:rsid w:val="001942FF"/>
    <w:rsid w:val="001A79C3"/>
    <w:rsid w:val="002312DD"/>
    <w:rsid w:val="00383573"/>
    <w:rsid w:val="00537938"/>
    <w:rsid w:val="005F2156"/>
    <w:rsid w:val="00694AF9"/>
    <w:rsid w:val="008F0A78"/>
    <w:rsid w:val="00A17794"/>
    <w:rsid w:val="00C43BD0"/>
    <w:rsid w:val="00DB3362"/>
    <w:rsid w:val="00E15AC6"/>
    <w:rsid w:val="00E8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5A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33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3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3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3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3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5A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33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3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3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3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3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1188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Piechowiak, Błażej</dc:creator>
  <cp:lastModifiedBy>Piechowiak, Błażej</cp:lastModifiedBy>
  <cp:revision>2</cp:revision>
  <dcterms:created xsi:type="dcterms:W3CDTF">2014-09-05T11:11:00Z</dcterms:created>
  <dcterms:modified xsi:type="dcterms:W3CDTF">2014-09-05T11:11:00Z</dcterms:modified>
</cp:coreProperties>
</file>