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E2F1B">
        <w:rPr>
          <w:rFonts w:ascii="Tahoma" w:hAnsi="Tahoma"/>
          <w:sz w:val="22"/>
          <w:szCs w:val="22"/>
        </w:rPr>
        <w:t>23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559D5" w:rsidP="004559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Treść uchwał podjętych przez Zwyczajne Walne Zgromadzenie w dniu 23 czerwca 2014 roku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42642">
              <w:rPr>
                <w:rFonts w:ascii="Tahoma" w:hAnsi="Tahoma" w:cs="Tahoma"/>
                <w:b/>
                <w:sz w:val="20"/>
              </w:rPr>
              <w:t>1</w:t>
            </w:r>
            <w:r w:rsidR="004559D5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E246D" w:rsidRDefault="002E6D6A" w:rsidP="002E6D6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38 ust. 1 pkt. 7)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19 lutego 2009 r. w sprawie informacji bieżących i okresowych przekazywanych przez emitentów papierów wartościowych oraz warunków uznawania za równoważne informacji wymaganych przepisami prawa państwa niebędącego państwem członkowskim (Dz. U. 2009 r., nr 33, poz. 259 z </w:t>
            </w:r>
            <w:proofErr w:type="spellStart"/>
            <w:r w:rsidRPr="00B7684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B76844">
              <w:rPr>
                <w:rFonts w:ascii="Tahoma" w:hAnsi="Tahoma" w:cs="Tahoma"/>
                <w:sz w:val="20"/>
              </w:rPr>
              <w:t xml:space="preserve">. zm.)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w załączeniu uchwały podjęte przez Zwyczajne Walne Zgromadzenie DGA S.A. w dniu 23 czerwca 2014 r.</w:t>
            </w:r>
          </w:p>
          <w:p w:rsidR="00D067E7" w:rsidRDefault="00D067E7" w:rsidP="002E6D6A">
            <w:pPr>
              <w:jc w:val="both"/>
              <w:rPr>
                <w:rFonts w:ascii="Tahoma" w:hAnsi="Tahoma" w:cs="Tahoma"/>
                <w:sz w:val="20"/>
              </w:rPr>
            </w:pPr>
          </w:p>
          <w:p w:rsidR="00D067E7" w:rsidRDefault="00D067E7" w:rsidP="002E6D6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w nawiązaniu do </w:t>
            </w:r>
            <w:r>
              <w:rPr>
                <w:rFonts w:ascii="Tahoma" w:hAnsi="Tahoma" w:cs="Tahoma"/>
                <w:sz w:val="20"/>
              </w:rPr>
              <w:t xml:space="preserve">§ 38 </w:t>
            </w:r>
            <w:r>
              <w:rPr>
                <w:rFonts w:ascii="Tahoma" w:hAnsi="Tahoma" w:cs="Tahoma"/>
                <w:sz w:val="20"/>
              </w:rPr>
              <w:t>ust. 1 pkt. 2</w:t>
            </w:r>
            <w:r>
              <w:rPr>
                <w:rFonts w:ascii="Tahoma" w:hAnsi="Tahoma" w:cs="Tahoma"/>
                <w:sz w:val="20"/>
              </w:rPr>
              <w:t>)</w:t>
            </w:r>
            <w:r>
              <w:rPr>
                <w:rFonts w:ascii="Tahoma" w:hAnsi="Tahoma" w:cs="Tahoma"/>
                <w:sz w:val="20"/>
              </w:rPr>
              <w:t xml:space="preserve"> ww. Rozporządzania</w:t>
            </w:r>
            <w:r w:rsidRPr="00B7684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Zarząd informuje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>, że podjęte uchwały obejmują również zmiany Statutu DGA S.A., w tym ustalenie tekstu jednolitego Statutu DGA S.A.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6A" w:rsidRDefault="002E6D6A">
      <w:r>
        <w:separator/>
      </w:r>
    </w:p>
  </w:endnote>
  <w:endnote w:type="continuationSeparator" w:id="0">
    <w:p w:rsidR="002E6D6A" w:rsidRDefault="002E6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D6A" w:rsidRDefault="002E6D6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D6A" w:rsidRPr="00C64F4A" w:rsidRDefault="002E6D6A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6D6A" w:rsidRPr="00F96658" w:rsidRDefault="002E6D6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6A" w:rsidRDefault="002E6D6A">
      <w:r>
        <w:separator/>
      </w:r>
    </w:p>
  </w:footnote>
  <w:footnote w:type="continuationSeparator" w:id="0">
    <w:p w:rsidR="002E6D6A" w:rsidRDefault="002E6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D6A" w:rsidRPr="00F96658" w:rsidRDefault="002E6D6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2E6D6A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59D5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6D4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067E7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3ED2D-ADAE-4356-86CD-A8F4D1BA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19</TotalTime>
  <Pages>1</Pages>
  <Words>161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2014-04-28T10:05:00Z</cp:lastPrinted>
  <dcterms:created xsi:type="dcterms:W3CDTF">2014-06-23T15:35:00Z</dcterms:created>
  <dcterms:modified xsi:type="dcterms:W3CDTF">2014-06-23T15:54:00Z</dcterms:modified>
</cp:coreProperties>
</file>