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EC2006">
        <w:rPr>
          <w:rFonts w:ascii="Tahoma" w:hAnsi="Tahoma"/>
          <w:sz w:val="22"/>
          <w:szCs w:val="22"/>
        </w:rPr>
        <w:t>12 czerwca</w:t>
      </w:r>
      <w:r>
        <w:rPr>
          <w:rFonts w:ascii="Tahoma" w:hAnsi="Tahoma"/>
          <w:sz w:val="22"/>
          <w:szCs w:val="22"/>
        </w:rPr>
        <w:t xml:space="preserve">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>
        <w:rPr>
          <w:rFonts w:ascii="Tahoma" w:hAnsi="Tahoma"/>
          <w:sz w:val="22"/>
          <w:szCs w:val="22"/>
        </w:rPr>
        <w:t>5</w:t>
      </w:r>
      <w:r w:rsidR="00243FB7"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B34075">
            <w:pPr>
              <w:ind w:left="567" w:hanging="567"/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EC2006" w:rsidP="0063458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Drugie</w:t>
            </w:r>
            <w:r w:rsidR="003B3D10">
              <w:rPr>
                <w:rFonts w:ascii="Tahoma" w:hAnsi="Tahoma" w:cs="Tahoma"/>
                <w:b/>
                <w:sz w:val="20"/>
              </w:rPr>
              <w:t xml:space="preserve"> zawiadomienie o zamiarze połączenia DGA S.A. z </w:t>
            </w:r>
            <w:proofErr w:type="spellStart"/>
            <w:r w:rsidR="003B3D10"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 w:rsidR="003B3D10"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EC2006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B3D10">
              <w:rPr>
                <w:rFonts w:ascii="Tahoma" w:hAnsi="Tahoma" w:cs="Tahoma"/>
                <w:b/>
                <w:sz w:val="20"/>
              </w:rPr>
              <w:t>2</w:t>
            </w:r>
            <w:r w:rsidR="00EC2006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634586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Zarząd DGA S.A.  z siedzibą w Poznaniu (w treści raportu jako Emitent), na podstawie art. 504 § 1 i § 2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., zawiadamia po raz drugi akcjonariuszy Emitenta o zamiarze połączenia Emitenta (spółki przejmującej) z innym podmiotem –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 Sp. z o.o. z siedzibą w Poznaniu (spółka przejmowana), której całość udziałów w kapitale zakładowym przysługuje Emitentowi.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Z uwagi na brzmienie art. 502 § 21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>. ogłoszenie planu połączenia w Monitorze Sądowym i Gospodarczym nie było konieczne.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Plan połączenia wraz z załącznikami, został opublikowany na stronie internetowej Emitenta w dniu 26 maja 2015 r. i jednocześnie ogłoszony raportem bieżącym nr 18/2015 dostępnym pod adresem </w:t>
            </w:r>
            <w:hyperlink r:id="rId7" w:history="1">
              <w:r w:rsidRPr="00880A73">
                <w:rPr>
                  <w:rStyle w:val="Hipercze"/>
                  <w:rFonts w:ascii="Tahoma" w:hAnsi="Tahoma" w:cs="Tahoma"/>
                  <w:sz w:val="20"/>
                </w:rPr>
                <w:t>http://inwestor.dga.pl/strony/1/i/251.php</w:t>
              </w:r>
            </w:hyperlink>
            <w:r w:rsidRPr="00EC2006">
              <w:rPr>
                <w:rFonts w:ascii="Tahoma" w:hAnsi="Tahoma" w:cs="Tahoma"/>
                <w:sz w:val="20"/>
              </w:rPr>
              <w:t>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 </w:t>
            </w: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>Plan połączenia został więc udostępniony na co najmniej miesiąc przez terminem Walnego Zgromadzenia Akcjonariuszy Emitenta, na którym ma być podjęta uchwała o połączeniu.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Z uwagi na fakt, że całość udziałów w kapitale zakładowym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 Sp. z o.o. przysługuje Emitentowi połączenie zostanie dokonane w sposób uproszczony, zgodnie z art. 515 § 1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., tj. bez podwyższenia kapitału zakładowego Emitenta  – a w konsekwencji – bez wymiany udziałów w kapitale zakładowym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 Sp. z o.o. na akcje w kapitale zakładowym Emitenta.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Wobec powyższego, zarządy Emitenta oraz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 Sp. z o.o. nie sporządzają pisemnego sprawozdania uzasadniającego połączenie, a ponadto nie jest wymagane poddanie planu połączenia badaniu przez biegłego rewidenta, a także wydanie przez biegłego rewidenta opinii.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Z uwagi na to, że Emitent jest spółką publiczną nie jest zobowiązany do sporządzenia i załączenia do planu połączenia oświadczenia zawierającego informację o stanie księgowym Emitenta sporządzoną dla celów połączenia, o której mowa w art. 499 § 2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 4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>.</w:t>
            </w:r>
          </w:p>
          <w:p w:rsidR="00EC2006" w:rsidRPr="00EC2006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  <w:r w:rsidRPr="00EC2006">
              <w:rPr>
                <w:rFonts w:ascii="Tahoma" w:hAnsi="Tahoma" w:cs="Tahoma"/>
                <w:sz w:val="20"/>
              </w:rPr>
              <w:t xml:space="preserve">Akcjonariusze mogą zapoznać się dokumentami, o których mowa w art. 505 § 1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. sporządzonymi dla celów połączenia w siedzibie Emitenta, tj. w Poznaniu przy ul. Towarowej 35 (V – piętro), 61-896 Poznań, oraz w siedzibie </w:t>
            </w:r>
            <w:proofErr w:type="spellStart"/>
            <w:r w:rsidRPr="00EC2006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EC2006">
              <w:rPr>
                <w:rFonts w:ascii="Tahoma" w:hAnsi="Tahoma" w:cs="Tahoma"/>
                <w:sz w:val="20"/>
              </w:rPr>
              <w:t xml:space="preserve"> Sp. z o.o. w Poznaniu przy ul. Towarowej 35 (V – piętro), 61-896 Poznań, w godzinach 8 – 16, a także na stronie internetowej </w:t>
            </w:r>
            <w:hyperlink r:id="rId8" w:history="1">
              <w:r w:rsidRPr="00880A73">
                <w:rPr>
                  <w:rStyle w:val="Hipercze"/>
                  <w:rFonts w:ascii="Tahoma" w:hAnsi="Tahoma" w:cs="Tahoma"/>
                  <w:sz w:val="20"/>
                </w:rPr>
                <w:t>www.dga.pl</w:t>
              </w:r>
            </w:hyperlink>
            <w:r>
              <w:rPr>
                <w:rFonts w:ascii="Tahoma" w:hAnsi="Tahoma" w:cs="Tahoma"/>
                <w:sz w:val="20"/>
              </w:rPr>
              <w:t xml:space="preserve"> </w:t>
            </w:r>
            <w:r w:rsidRPr="00EC2006">
              <w:rPr>
                <w:rFonts w:ascii="Tahoma" w:hAnsi="Tahoma" w:cs="Tahoma"/>
                <w:sz w:val="20"/>
              </w:rPr>
              <w:t xml:space="preserve">oraz </w:t>
            </w:r>
            <w:hyperlink r:id="rId9" w:history="1">
              <w:r w:rsidRPr="00880A73">
                <w:rPr>
                  <w:rStyle w:val="Hipercze"/>
                  <w:rFonts w:ascii="Tahoma" w:hAnsi="Tahoma" w:cs="Tahoma"/>
                  <w:sz w:val="20"/>
                </w:rPr>
                <w:t>www.ateria.pl</w:t>
              </w:r>
            </w:hyperlink>
            <w:r w:rsidRPr="00EC2006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EC2006">
              <w:rPr>
                <w:rFonts w:ascii="Tahoma" w:hAnsi="Tahoma" w:cs="Tahoma"/>
                <w:sz w:val="20"/>
              </w:rPr>
              <w:t>od dnia niniejszego zawiadomienia do dnia zakończenia Walnego Zgromadzenia Akcjonariuszy Emitenta, na którym zostanie podjęta uchwała o połączeniu.</w:t>
            </w:r>
          </w:p>
          <w:p w:rsidR="00EC2006" w:rsidRPr="008A51FB" w:rsidRDefault="00EC2006" w:rsidP="00EC200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4F1215" w:rsidRPr="00C81B1B" w:rsidRDefault="004F1215" w:rsidP="00EC2006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10" w:rsidRDefault="003B3D10">
      <w:r>
        <w:separator/>
      </w:r>
    </w:p>
  </w:endnote>
  <w:endnote w:type="continuationSeparator" w:id="0">
    <w:p w:rsidR="003B3D10" w:rsidRDefault="003B3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10" w:rsidRDefault="003B3D1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2BD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10" w:rsidRPr="00C64F4A" w:rsidRDefault="003B3D10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B3D10" w:rsidRPr="00F96658" w:rsidRDefault="003B3D1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10" w:rsidRDefault="003B3D10">
      <w:r>
        <w:separator/>
      </w:r>
    </w:p>
  </w:footnote>
  <w:footnote w:type="continuationSeparator" w:id="0">
    <w:p w:rsidR="003B3D10" w:rsidRDefault="003B3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10" w:rsidRPr="00F96658" w:rsidRDefault="003B3D1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452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B3D10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5B6C"/>
    <w:rsid w:val="006666EE"/>
    <w:rsid w:val="00670E24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075"/>
    <w:rsid w:val="00B344B2"/>
    <w:rsid w:val="00B37C88"/>
    <w:rsid w:val="00B426F6"/>
    <w:rsid w:val="00B47BC5"/>
    <w:rsid w:val="00B660C3"/>
    <w:rsid w:val="00B67EA9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2BD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0FDA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C2006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rsid w:val="003B3D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g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westor.dga.pl/strony/1/i/251.ph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teri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2</Pages>
  <Words>403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2012-03-19T16:28:00Z</cp:lastPrinted>
  <dcterms:created xsi:type="dcterms:W3CDTF">2015-06-12T09:57:00Z</dcterms:created>
  <dcterms:modified xsi:type="dcterms:W3CDTF">2015-06-12T10:00:00Z</dcterms:modified>
</cp:coreProperties>
</file>