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7D2A47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>
        <w:rPr>
          <w:rFonts w:ascii="Tahoma" w:hAnsi="Tahoma"/>
          <w:sz w:val="20"/>
        </w:rPr>
        <w:t>22 czerwca</w:t>
      </w:r>
      <w:r w:rsidR="00DB1E34">
        <w:rPr>
          <w:rFonts w:ascii="Tahoma" w:hAnsi="Tahoma"/>
          <w:sz w:val="20"/>
        </w:rPr>
        <w:t xml:space="preserve">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7D2A47" w:rsidP="00DB1E3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Sprzedaż przez spółkę pośrednio zależną portalu internetowego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D2A47">
              <w:rPr>
                <w:rFonts w:ascii="Tahoma" w:hAnsi="Tahoma" w:cs="Tahoma"/>
                <w:b/>
                <w:sz w:val="20"/>
              </w:rPr>
              <w:t>15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E165F3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D2A47" w:rsidRDefault="007B7F7E" w:rsidP="007B7F7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 informuje, że </w:t>
            </w:r>
            <w:r w:rsidR="007D2A47">
              <w:rPr>
                <w:rFonts w:ascii="Tahoma" w:hAnsi="Tahoma" w:cs="Tahoma"/>
                <w:sz w:val="20"/>
              </w:rPr>
              <w:t>otrzymał od spółki pośrednio zależnej FD Polska Sp. z o.o. informację o podpisaniu przez nią umowy sprzedaży portalu internetowego fastdeal.pl, który stanowił podstawowy przedmiot jej działalności za cenę 65.040,65 zł netto. Kupującym jest spółka kapitałowa niepowiązana w żaden sposób z Emitentem, jak i jego spółkami zależnymi.</w:t>
            </w:r>
          </w:p>
          <w:p w:rsidR="007D2A47" w:rsidRDefault="007D2A47" w:rsidP="007B7F7E">
            <w:pPr>
              <w:jc w:val="both"/>
              <w:rPr>
                <w:rFonts w:ascii="Tahoma" w:hAnsi="Tahoma" w:cs="Tahoma"/>
                <w:sz w:val="20"/>
              </w:rPr>
            </w:pPr>
          </w:p>
          <w:p w:rsidR="007D2A47" w:rsidRDefault="007D2A47" w:rsidP="007B7F7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Spółka FD Polska Sp. z o.o. w dniu 5 kwietnia 2018 r. złożyła wniosek do sądu o ogłoszenie jej upadłości</w:t>
            </w:r>
            <w:r w:rsidR="007F4443">
              <w:rPr>
                <w:rFonts w:ascii="Tahoma" w:hAnsi="Tahoma" w:cs="Tahoma"/>
                <w:sz w:val="20"/>
              </w:rPr>
              <w:t xml:space="preserve"> o czym DGA S.A. informowała raportem nr 5/2018 z dnia 5 kwietnia 2018 r. </w:t>
            </w:r>
          </w:p>
          <w:p w:rsidR="001F2860" w:rsidRPr="008A51FB" w:rsidRDefault="001F2860" w:rsidP="007F444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B7F7E" w:rsidRPr="00CE7FAA" w:rsidRDefault="007B7F7E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243FB7" w:rsidRPr="007F1C0C" w:rsidRDefault="007B7F7E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7F4443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7F444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7B7F7E">
              <w:rPr>
                <w:rFonts w:ascii="Tahoma" w:hAnsi="Tahoma" w:cs="Tahoma"/>
                <w:b/>
                <w:sz w:val="20"/>
              </w:rPr>
              <w:t>Pr</w:t>
            </w:r>
            <w:r w:rsidR="007F4443">
              <w:rPr>
                <w:rFonts w:ascii="Tahoma" w:hAnsi="Tahoma" w:cs="Tahoma"/>
                <w:b/>
                <w:sz w:val="20"/>
              </w:rPr>
              <w:t>ezes Zarządu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A47" w:rsidRDefault="007D2A47">
      <w:r>
        <w:separator/>
      </w:r>
    </w:p>
  </w:endnote>
  <w:endnote w:type="continuationSeparator" w:id="0">
    <w:p w:rsidR="007D2A47" w:rsidRDefault="007D2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7" w:rsidRDefault="007D2A47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7" w:rsidRPr="00C64F4A" w:rsidRDefault="007D2A47" w:rsidP="005355AA">
    <w:pPr>
      <w:pStyle w:val="Stopka"/>
      <w:jc w:val="both"/>
      <w:rPr>
        <w:sz w:val="20"/>
      </w:rPr>
    </w:pPr>
  </w:p>
  <w:p w:rsidR="007D2A47" w:rsidRPr="00F96658" w:rsidRDefault="007D2A47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A47" w:rsidRDefault="007D2A47">
      <w:r>
        <w:separator/>
      </w:r>
    </w:p>
  </w:footnote>
  <w:footnote w:type="continuationSeparator" w:id="0">
    <w:p w:rsidR="007D2A47" w:rsidRDefault="007D2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7" w:rsidRPr="00F96658" w:rsidRDefault="007D2A47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7437F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2A47"/>
    <w:rsid w:val="007D45D1"/>
    <w:rsid w:val="007D6BCC"/>
    <w:rsid w:val="007E571A"/>
    <w:rsid w:val="007F4443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07B13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19</TotalTime>
  <Pages>1</Pages>
  <Words>150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2018-06-22T06:44:00Z</dcterms:created>
  <dcterms:modified xsi:type="dcterms:W3CDTF">2018-06-22T07:00:00Z</dcterms:modified>
</cp:coreProperties>
</file>