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8E0366">
        <w:rPr>
          <w:rFonts w:ascii="Tahoma" w:hAnsi="Tahoma"/>
          <w:sz w:val="20"/>
        </w:rPr>
        <w:t>11 marca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8E0366" w:rsidP="008E036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Wniesienie skargi kasacyjnej od w</w:t>
            </w:r>
            <w:r w:rsidR="003622CD">
              <w:rPr>
                <w:rFonts w:ascii="Tahoma" w:hAnsi="Tahoma" w:cs="Tahoma"/>
                <w:b/>
                <w:sz w:val="20"/>
              </w:rPr>
              <w:t>yrok</w:t>
            </w:r>
            <w:r>
              <w:rPr>
                <w:rFonts w:ascii="Tahoma" w:hAnsi="Tahoma" w:cs="Tahoma"/>
                <w:b/>
                <w:sz w:val="20"/>
              </w:rPr>
              <w:t>u</w:t>
            </w:r>
            <w:r w:rsidR="003622CD">
              <w:rPr>
                <w:rFonts w:ascii="Tahoma" w:hAnsi="Tahoma" w:cs="Tahoma"/>
                <w:b/>
                <w:sz w:val="20"/>
              </w:rPr>
              <w:t xml:space="preserve"> Sądu Apelacyjnego w Poznaniu w sprawie projektu </w:t>
            </w:r>
            <w:r w:rsidR="003622CD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8E0366">
              <w:rPr>
                <w:rFonts w:ascii="Tahoma" w:hAnsi="Tahoma" w:cs="Tahoma"/>
                <w:b/>
                <w:sz w:val="20"/>
              </w:rPr>
              <w:t>4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8E0366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8E0366" w:rsidRDefault="008E0366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</w:t>
            </w:r>
            <w:r w:rsidR="00F84E80">
              <w:rPr>
                <w:rFonts w:ascii="Tahoma" w:hAnsi="Tahoma" w:cs="Tahoma"/>
                <w:sz w:val="20"/>
              </w:rPr>
              <w:t xml:space="preserve"> w dniu 11 marca 2019 r. powziął</w:t>
            </w:r>
            <w:r>
              <w:rPr>
                <w:rFonts w:ascii="Tahoma" w:hAnsi="Tahoma" w:cs="Tahoma"/>
                <w:sz w:val="20"/>
              </w:rPr>
              <w:t xml:space="preserve"> informację o  wniesieniu skargi kasacyjnej przez SEKA S.A. do Sądu Najwyższego od wyroku Sądu Apelacyjnego w Poznaniu z dnia 20 września 2018 r.  </w:t>
            </w:r>
          </w:p>
          <w:p w:rsidR="00F84E80" w:rsidRDefault="00F84E80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3622CD" w:rsidRDefault="00F84E80" w:rsidP="00F84E80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raportem bieżącym nr 20/2018 z dnia 20 września 2018 r. poinformował, że na</w:t>
            </w:r>
            <w:r w:rsidR="003622CD">
              <w:rPr>
                <w:rFonts w:ascii="Tahoma" w:hAnsi="Tahoma" w:cs="Tahoma"/>
                <w:sz w:val="20"/>
              </w:rPr>
              <w:t xml:space="preserve"> rozprawie Sąd Apelacyjny w Poznaniu I Wydział Cywilny wydał wyrok zgodnie z którym:</w:t>
            </w:r>
          </w:p>
          <w:p w:rsidR="003622CD" w:rsidRDefault="003622C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A9475C" w:rsidRDefault="00A9475C" w:rsidP="003622CD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Zmienił zaskarżony wyrok w ten tylko sposób, że: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obniżył zasądzoną na rzecz DGA S.A. kwotę 1.232.580 zł do kwoty 1.220.255,40 zł (obniż</w:t>
            </w:r>
            <w:r w:rsidR="00EC57C7">
              <w:rPr>
                <w:rFonts w:ascii="Tahoma" w:hAnsi="Tahoma" w:cs="Tahoma"/>
                <w:sz w:val="20"/>
              </w:rPr>
              <w:t>enie</w:t>
            </w:r>
            <w:r>
              <w:rPr>
                <w:rFonts w:ascii="Tahoma" w:hAnsi="Tahoma" w:cs="Tahoma"/>
                <w:sz w:val="20"/>
              </w:rPr>
              <w:t xml:space="preserve"> o kwotę 12.324,60 zł),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odsetki za opóźnienie od kwoty 1.043.736,87 zł zasądził na rzecz DGA S.A. od dnia 25 stycznia 2012 r. do dnia zapłaty (w wyroku I instancji odsetki zasądzone były na rzecz DGA S.A. od 17 stycznia 2014 r.),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pozostałym zakresie oddalił apelację firmy SEKA S.A.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Zasądził od SEKA S.A. na rzecz DGA S.A. kwotę 11.250 zł tytułem zwrotu kosztów zastępstwa procesowego w postępowaniu apelacyjnym.</w:t>
            </w:r>
          </w:p>
          <w:p w:rsidR="007659EA" w:rsidRDefault="007659EA" w:rsidP="00A9475C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1D36F6" w:rsidRDefault="00F84E80" w:rsidP="00F84E80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 dnia niniejszego raportu SEKA S.A. uregulowała wszystkie ww. kwoty.</w:t>
            </w:r>
          </w:p>
          <w:p w:rsidR="00F84E80" w:rsidRDefault="00F84E80" w:rsidP="00F84E80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84E80" w:rsidRDefault="00FD3696" w:rsidP="00FD3696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SEKA S.A. określiła wartość przedmiotu zaskarżenia na kwotę 3.049.460,00 zł.</w:t>
            </w:r>
          </w:p>
          <w:p w:rsidR="00FD3696" w:rsidRDefault="00FD3696" w:rsidP="00FD3696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D3696" w:rsidRPr="00FD3696" w:rsidRDefault="00FD3696" w:rsidP="00FD3696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DGA S.A. </w:t>
            </w:r>
            <w:r w:rsidR="00EB2EF0">
              <w:rPr>
                <w:rFonts w:ascii="Tahoma" w:hAnsi="Tahoma" w:cs="Tahoma"/>
                <w:sz w:val="20"/>
              </w:rPr>
              <w:t>będzie wnosić o odrzucenie skargi kasacyjnej, a w przypadku przyjęcia jej do rozpoznania przez Sąd Najw</w:t>
            </w:r>
            <w:r w:rsidR="005C3475">
              <w:rPr>
                <w:rFonts w:ascii="Tahoma" w:hAnsi="Tahoma" w:cs="Tahoma"/>
                <w:sz w:val="20"/>
              </w:rPr>
              <w:t xml:space="preserve">yższy będzie wnosić o jej oddalenie jako całkowicie bezzasadnej. </w:t>
            </w:r>
          </w:p>
          <w:p w:rsidR="00F84E80" w:rsidRPr="002C0653" w:rsidRDefault="00F84E80" w:rsidP="00F84E80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EC57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950311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5031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P</w:t>
            </w:r>
            <w:r w:rsidR="0060476D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F0" w:rsidRDefault="00EB2EF0">
      <w:r>
        <w:separator/>
      </w:r>
    </w:p>
  </w:endnote>
  <w:endnote w:type="continuationSeparator" w:id="0">
    <w:p w:rsidR="00EB2EF0" w:rsidRDefault="00EB2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F0" w:rsidRDefault="00EB2EF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F0" w:rsidRPr="00C64F4A" w:rsidRDefault="00EB2EF0" w:rsidP="005355AA">
    <w:pPr>
      <w:pStyle w:val="Stopka"/>
      <w:jc w:val="both"/>
      <w:rPr>
        <w:sz w:val="20"/>
      </w:rPr>
    </w:pPr>
  </w:p>
  <w:p w:rsidR="00EB2EF0" w:rsidRPr="00F96658" w:rsidRDefault="00EB2EF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F0" w:rsidRDefault="00EB2EF0">
      <w:r>
        <w:separator/>
      </w:r>
    </w:p>
  </w:footnote>
  <w:footnote w:type="continuationSeparator" w:id="0">
    <w:p w:rsidR="00EB2EF0" w:rsidRDefault="00EB2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F0" w:rsidRPr="00F96658" w:rsidRDefault="00EB2EF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2B5AC5"/>
    <w:multiLevelType w:val="hybridMultilevel"/>
    <w:tmpl w:val="CF64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C77016B"/>
    <w:multiLevelType w:val="hybridMultilevel"/>
    <w:tmpl w:val="DEE0FB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2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7"/>
  </w:num>
  <w:num w:numId="6">
    <w:abstractNumId w:val="19"/>
  </w:num>
  <w:num w:numId="7">
    <w:abstractNumId w:val="6"/>
  </w:num>
  <w:num w:numId="8">
    <w:abstractNumId w:val="5"/>
  </w:num>
  <w:num w:numId="9">
    <w:abstractNumId w:val="20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6"/>
  </w:num>
  <w:num w:numId="15">
    <w:abstractNumId w:val="21"/>
  </w:num>
  <w:num w:numId="16">
    <w:abstractNumId w:val="22"/>
  </w:num>
  <w:num w:numId="17">
    <w:abstractNumId w:val="14"/>
  </w:num>
  <w:num w:numId="18">
    <w:abstractNumId w:val="11"/>
  </w:num>
  <w:num w:numId="19">
    <w:abstractNumId w:val="8"/>
  </w:num>
  <w:num w:numId="20">
    <w:abstractNumId w:val="18"/>
  </w:num>
  <w:num w:numId="21">
    <w:abstractNumId w:val="4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A43E7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86D03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22CD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475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0366"/>
    <w:rsid w:val="008E3AE7"/>
    <w:rsid w:val="008E6647"/>
    <w:rsid w:val="008E7260"/>
    <w:rsid w:val="008F3FB8"/>
    <w:rsid w:val="0091794E"/>
    <w:rsid w:val="00917AE0"/>
    <w:rsid w:val="009362F6"/>
    <w:rsid w:val="009466DC"/>
    <w:rsid w:val="009467FC"/>
    <w:rsid w:val="00950311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475C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E63EC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45AB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B2EF0"/>
    <w:rsid w:val="00EC18EB"/>
    <w:rsid w:val="00EC57C7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84E80"/>
    <w:rsid w:val="00F96658"/>
    <w:rsid w:val="00FA0CC3"/>
    <w:rsid w:val="00FA6596"/>
    <w:rsid w:val="00FA6C42"/>
    <w:rsid w:val="00FB2DC5"/>
    <w:rsid w:val="00FB3FAB"/>
    <w:rsid w:val="00FB51E9"/>
    <w:rsid w:val="00FC2AB7"/>
    <w:rsid w:val="00FD3696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9B633-25B9-4469-BB27-AECFFDE6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40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2019-03-11T14:07:00Z</cp:lastPrinted>
  <dcterms:created xsi:type="dcterms:W3CDTF">2019-03-11T13:35:00Z</dcterms:created>
  <dcterms:modified xsi:type="dcterms:W3CDTF">2019-03-11T14:17:00Z</dcterms:modified>
</cp:coreProperties>
</file>